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bottom w:color="000000" w:space="0" w:sz="0" w:val="none"/>
        </w:pBdr>
        <w:spacing w:after="120" w:before="12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000000" w:space="0" w:sz="0" w:val="none"/>
        </w:pBdr>
        <w:spacing w:after="120" w:before="12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PROCESSO ADMINISTRATIVO nº 23873.001898/2024-45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Dispensa de Licitação Nº 90010/2024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ANEXO VII - MODELO DE DECLARAÇÃO DE 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bookmarkStart w:colFirst="0" w:colLast="0" w:name="_heading=h.czgpcvmkiq6y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(NOME DA EMPRESA)___, (n.º do CNPJ), sediada ____________(endereço completo)_____________, por intermédio do seu representante legal o(a) Sr.(a) _____, portador(a) da Carteira de Identidade n.º_____ e do CPF n.º ____, firmado abaixo, declara sob as penas da lei que está ciente e concorda com as condições contidas no edital e seus anexos, que tomou conhecimento de todas as informações e das condições locais para o cumprimento das obrigações objeto da dispensa eletrônica, especialmente sobre os prazos de execução, conforme consta no termo de referência.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empresa deverá iniciar os trabalhos em até 05 (cinco) dias úteis da data de assinatura do contrato, os serviços descritos no item 1.1;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Prazos de Execução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prazo previsto para a entrega dos serviços pelo fornecedor será de 60 (sessenta) dias corridos, a contar da assinatura do contrato, seguindo o cronograma de execução seguinte: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15 (quinze) dias corridos após o início das atividades, o CONTRATADO deverá entregar a prévia do projeto arquitetônico completo em BIM (.dwg e/ou revit) para conferência da fiscalização do contrato. Neste prazo estão incluídos visitas ao campus e elaboração dos projetos;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15 (quinze) dias corridos após a conferência do arquitetônico, o CONTRATADO deverá entregar a prévia dos projetos complementares completos em CAD, e/ou BIM (.dwg e/ou revit) para conferência da fiscalização do contrato. Neste prazo estão incluídos correções do arquitetônico, caso necessário, e elaboração dos complementares;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 (dez) dias corridos após a entrega dos complementares, o CONTRATADO deverá entregar o Orçamento completo, e o Memorial Descritivo dos serviços para conferência da fiscalização do contrato. Neste prazo estão incluídos correções dos projetos, caso necessário;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 administração prevê 5 (cinco) dias corridos para conferência do projeto estrutural e 5 (cinco) dias, totalizando 60 (sessenta) dias de execução.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não cumprimento desses prazos será considerado como inexecução do contrato, acarretando as penalizações previstas no contrato, ou seja, multa/impedimento de licitar,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Data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 do representante legal da empresa.</w:t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spacing w:after="0" w:before="60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</w:rPr>
      <w:drawing>
        <wp:inline distB="0" distT="0" distL="0" distR="0">
          <wp:extent cx="739140" cy="80772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9140" cy="8077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5">
    <w:pPr>
      <w:spacing w:after="0" w:before="60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16">
    <w:pPr>
      <w:spacing w:after="0" w:before="60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INSTITUTO FEDERAL FARROUPILHA</w:t>
    </w:r>
  </w:p>
  <w:p w:rsidR="00000000" w:rsidDel="00000000" w:rsidP="00000000" w:rsidRDefault="00000000" w:rsidRPr="00000000" w14:paraId="00000017">
    <w:pPr>
      <w:spacing w:after="0" w:before="60" w:lineRule="auto"/>
      <w:ind w:firstLine="567"/>
      <w:jc w:val="center"/>
      <w:rPr>
        <w:rFonts w:ascii="Arial" w:cs="Arial" w:eastAsia="Arial" w:hAnsi="Arial"/>
        <w:b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  <w:rtl w:val="0"/>
      </w:rPr>
      <w:t xml:space="preserve">REITORIA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OCkW5X/gWxTv3iZqzN8mPBvaQ==">CgMxLjAyDmguY3pncGN2bWtpcTZ5OAByITFiRjd0U0pNTXM0N2NaOUs2VEFYMUdlbnFPUFk4VHBiVQ==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2024-04-24T14:37:00Z</dcterms:created>
  <dc:creator>ServidorIFFar</dc:creator>
</cp:coreProperties>
</file>