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ANEXO V - MINUTA DO CONTRATO</w:t>
      </w:r>
    </w:p>
    <w:p>
      <w:pPr>
        <w:pStyle w:val="Normal1"/>
        <w:spacing w:lineRule="auto" w:line="360"/>
        <w:jc w:val="center"/>
        <w:rPr/>
      </w:pPr>
      <w:r>
        <w:rPr/>
      </w:r>
    </w:p>
    <w:p>
      <w:pPr>
        <w:pStyle w:val="Normal1"/>
        <w:spacing w:lineRule="auto" w:line="360"/>
        <w:jc w:val="both"/>
        <w:rPr/>
      </w:pPr>
      <w:r>
        <w:rPr>
          <w:rFonts w:eastAsia="Arial" w:cs="Arial" w:ascii="Arial" w:hAnsi="Arial"/>
          <w:b/>
        </w:rPr>
        <w:t>CONTRATO N.º ____/ 2022 CONTRATO DE AQUISIÇÃO DE GÊNEROS ALIMENTÍCIOS DA AGRICULTURA FAMILIAR PARA A ALIMENTAÇÃO ESCOLAR</w:t>
      </w:r>
    </w:p>
    <w:p>
      <w:pPr>
        <w:pStyle w:val="Normal1"/>
        <w:spacing w:lineRule="auto" w:line="360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spacing w:lineRule="auto" w:line="36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Ao ____ dias do mês de ____ do ano de 2022, o Instituto Federal de Educação, Ciência e Tecnologia Farroupilha Campus Júlio de Castilhos, CNPJ 10.662.072/0002-39, sediado no endereço RST 527 – Estrada de Acesso Secundário para Tupanciretã S/N, Distrito de São João do Barro Preto, Interior, Cep: 98.130-000, Júlio de Castilhos – RS,  doravante denominada apenas CONTRATANTE, neste ato representado pelo(a) Diretor(a) Geral, S.r.(a) ________, portador(a) do CPF _______ e RG _______ e por outro lado_______________ (nome do grupo formal) com sede à ________________________, n.º______, em ______/UF, inscrita no CNPJ sob n.º ________________________, ou fornecedores do grupo informal (nomear todos e n.º CPF), doravante denominado (a) CONTRATADO (A), fundamentados nas disposições Lei n.º 11.947, de 16/06/2009 e na Resolução FNDE/CD n.º 26/2013, e tendo em vista o que consta na Chamada Pública nº 01/2022, Processo Administrativo nº 23243.001142/2022-51, resolvem celebrar o presente contrato mediante as cláusulas que seguem, fundamentados nas disposições da Lei nº 11.947/2009 e da Lei nº  8.666/93:</w:t>
      </w:r>
    </w:p>
    <w:p>
      <w:pPr>
        <w:pStyle w:val="Normal1"/>
        <w:spacing w:lineRule="auto" w:line="36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numPr>
          <w:ilvl w:val="0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CLÁUSULA PRIMEIRA: DO OBJETO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É objeto desta contratação a aquisição de GÊNEROS ALIMENTÍCIOS DA AGRICULTURA FAMILIAR PARA ALIMENTAÇÃO ESCOLAR, verba FNDE/PNAE, no </w:t>
      </w:r>
      <w:r>
        <w:rPr>
          <w:rFonts w:eastAsia="Arial" w:cs="Arial" w:ascii="Arial" w:hAnsi="Arial"/>
          <w:highlight w:val="yellow"/>
        </w:rPr>
        <w:t>período de XXX a XXX de 2022,</w:t>
      </w:r>
      <w:r>
        <w:rPr>
          <w:rFonts w:eastAsia="Arial" w:cs="Arial" w:ascii="Arial" w:hAnsi="Arial"/>
        </w:rPr>
        <w:t xml:space="preserve"> de acordo com a Chamada Pública n.º 01/2022, o qual fica fazendo parte integrante do presente contrato, independentemente de anexação ou transcrição.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 presente contrato vigorará na data da sua assinatura até XXXXXX.</w:t>
      </w:r>
    </w:p>
    <w:p>
      <w:pPr>
        <w:pStyle w:val="Normal1"/>
        <w:spacing w:lineRule="auto" w:line="36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numPr>
          <w:ilvl w:val="0"/>
          <w:numId w:val="1"/>
        </w:numPr>
        <w:spacing w:lineRule="auto" w:line="360"/>
        <w:ind w:left="0" w:hanging="0"/>
        <w:jc w:val="both"/>
        <w:rPr/>
      </w:pPr>
      <w:r>
        <w:rPr>
          <w:rFonts w:eastAsia="Arial" w:cs="Arial" w:ascii="Arial" w:hAnsi="Arial"/>
          <w:b/>
        </w:rPr>
        <w:t xml:space="preserve">CLÁUSULA SEGUNDA: DAS CARACTERÍSTICAS, QUANTIDADES, PREÇO DOS PRODUTOS, </w:t>
      </w:r>
      <w:r>
        <w:rPr>
          <w:rFonts w:eastAsia="Arial" w:cs="Arial" w:ascii="Arial" w:hAnsi="Arial"/>
          <w:b/>
          <w:color w:val="000000"/>
        </w:rPr>
        <w:t>LOCAL E CONDIÇÕES DE ENTREGA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entrega e o descarregamento dos produtos são de responsabilidade do(s) produtor(es) vencedor(es);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primeira entrega somente ocorrerá após assinatura do contrato ou do recebimento da nota de empenho;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/>
      </w:pPr>
      <w:r>
        <w:rPr>
          <w:rFonts w:eastAsia="Arial" w:cs="Arial" w:ascii="Arial" w:hAnsi="Arial"/>
          <w:color w:val="000000"/>
        </w:rPr>
        <w:t>A entrega deve ser feita mediante agendamento do produtor junto ao Refeitório, após solicitação formal feita pela nutricionista ou responsável do Campus e de acordo com a periodicidade constante no cronograma de entrega;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administração reserva-se o direito de realizar alterações nos cronogramas de entrega ou nas quantidades por entrega, conforme a demanda, desde que o total não ultrapasse a quantidade requerida dos produtos e o fornecedor seja previamente comunicado;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/>
      </w:pPr>
      <w:r>
        <w:rPr>
          <w:rFonts w:eastAsia="Arial" w:cs="Arial" w:ascii="Arial" w:hAnsi="Arial"/>
          <w:color w:val="000000"/>
        </w:rPr>
        <w:t>A entrega deverá ser durante o horário de expediente, ou seja, das 07h45min até às 12h10min e das 13h30min às 17h05min, em dias úteis, de segunda a sexta-feira;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/>
      </w:pPr>
      <w:bookmarkStart w:id="0" w:name="_gjdgxs"/>
      <w:bookmarkEnd w:id="0"/>
      <w:r>
        <w:rPr>
          <w:rFonts w:eastAsia="Arial" w:cs="Arial" w:ascii="Arial" w:hAnsi="Arial"/>
          <w:color w:val="000000"/>
        </w:rPr>
        <w:t xml:space="preserve">Os produtos deverão ser entregues no Instituto Federal Farroupilha Campus Júlio de Castilhos, localizado </w:t>
      </w:r>
      <w:r>
        <w:rPr>
          <w:rFonts w:eastAsia="Arial" w:cs="Arial" w:ascii="Arial" w:hAnsi="Arial"/>
        </w:rPr>
        <w:t>no endereço RST 527 – Estrada de Acesso Secundário para Tupanciretã S/N, Distrito de São João do Barro Preto, Interior, Cep: 98.130-000, Júlio de Castilhos – RS</w:t>
      </w:r>
      <w:r>
        <w:rPr>
          <w:rFonts w:eastAsia="Arial" w:cs="Arial" w:ascii="Arial" w:hAnsi="Arial"/>
          <w:color w:val="000000"/>
        </w:rPr>
        <w:t>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Os produtos deverão ser entregues isentos de substâncias terrosas, sujidades ou corpos estranhos aderidos à superfície externa, parasitas, larvas ou outros animais, umidade externa anormal, odor e sabor estranhos e enfermidades;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Os produtos perecíveis devem ser de 1ª qualidade e na ocasião da entrega deverão apresentar grau de maturação que permite suportar a manipulação, o transporte e conservação em condições adequadas para o consumo;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Todos os produtos deverão atender ao disposto na legislação de alimentos, estabelecida pela Agência Nacional de Vigilância Sanitária/ Ministério da Saúde e pelo Ministério da Agricultura, Pecuária e Abastecimento (Resolução RDC nº 259/02 e 216/2004 – ANVISA).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Os fornecedores deverão repor os produtos dentro do prazo de validade e/ou vida útil, no caso de qualquer alteração dos mesmos;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No ato da entrega, o TERMO DE RECEBIMENTO deve ser assinado pelo representante da Unidade Executora e pelo grupo/ agricultor individual fornecedor;</w:t>
      </w:r>
    </w:p>
    <w:p>
      <w:pPr>
        <w:pStyle w:val="Normal1"/>
        <w:spacing w:lineRule="auto" w:line="36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Termo de Recebimento é o instrumento que atesta que os produtos entregues estão de acordo com o cronograma previsto no contrato e dentro dos padrões de qualidade exigidos.</w:t>
      </w:r>
    </w:p>
    <w:p>
      <w:pPr>
        <w:pStyle w:val="Normal1"/>
        <w:spacing w:lineRule="auto" w:line="36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numPr>
          <w:ilvl w:val="0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CLÁUSULA TERCEIRA: DO LIMITE DE VENDA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O limite individual de venda de gêneros alimentícios da Agricultura Familiar e do Empreendedor Familiar Rural será de até R$ </w:t>
      </w:r>
      <w:r>
        <w:rPr>
          <w:rFonts w:eastAsia="Arial" w:cs="Arial" w:ascii="Arial" w:hAnsi="Arial"/>
        </w:rPr>
        <w:t>4</w:t>
      </w:r>
      <w:r>
        <w:rPr>
          <w:rFonts w:eastAsia="Arial" w:cs="Arial" w:ascii="Arial" w:hAnsi="Arial"/>
        </w:rPr>
        <w:t>0.000,00 (</w:t>
      </w:r>
      <w:r>
        <w:rPr>
          <w:rFonts w:eastAsia="Arial" w:cs="Arial" w:ascii="Arial" w:hAnsi="Arial"/>
        </w:rPr>
        <w:t>quarenta</w:t>
      </w:r>
      <w:r>
        <w:rPr>
          <w:rFonts w:eastAsia="Arial" w:cs="Arial" w:ascii="Arial" w:hAnsi="Arial"/>
        </w:rPr>
        <w:t xml:space="preserve"> mil reais) por Declaração de Aptidão ao PRONAF – DAP por ano civil, referente à sua produção, conforme a legislação do Programa Nacional de Alimentação Escolar (PNAE).</w:t>
      </w:r>
    </w:p>
    <w:p>
      <w:pPr>
        <w:pStyle w:val="Normal1"/>
        <w:spacing w:lineRule="auto" w:line="36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O limite individual por DAP/ano será controlado pelo FNDE e MDA, conforme Acordo de Cooperação firmado entre estes.</w:t>
      </w:r>
    </w:p>
    <w:p>
      <w:pPr>
        <w:pStyle w:val="Normal1"/>
        <w:numPr>
          <w:ilvl w:val="0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CLÁUSULA QUARTA: DOS RECURSOS FINANCEIROS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As despesas decorrentes do presente contrato correrão por conta de recursos provenientes do FNDE (Fundo Nacional de Desenvolvimento da Educação), Elementos de Despesas n.º 339032, Fonte de Recursos n.º XXXX e PTRES n.º XXXXXX, exercício financeiro do ano corrente.</w:t>
      </w:r>
    </w:p>
    <w:p>
      <w:pPr>
        <w:pStyle w:val="Normal1"/>
        <w:numPr>
          <w:ilvl w:val="0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CLÁUSULA QUINTA: DAS RESPONSABILIDADES DOS FORNECEDORES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 CONTRATADO se compromete a fornecer os gêneros alimentícios conforme o disposto no padrão de identidade e qualidade estabelecida na legislação vigente, nas especificações técnicas elaboradas pela CONTRATANTE, bem como no projeto de venda;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 CONTRATADO se compromete a fornecer os gêneros alimentícios nos preços estabelecidos na Chamada Pública durante a vigência do contrato;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 CONTRATADO se compromete a fornecer os gêneros alimentícios conforme cronograma de entrega definido pela CONTRATANTE, com datas, locais, produto e qualidades, além das demais cláusulas de compra e venda. O início da entrega dos produtos deve observar o cronograma estabelecido no ato contratual;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Será de responsabilidade exclusiva do CONTRATADO o ressarcimento de eventuais prejuízos decorrentes da má qualidade dos produtos ou do atraso no fornecimento;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 CONTRATANTE se compromete em guardar pelo prazo estabelecido no §11 do artigo 45 da Resolução CD/FNDE nº 26/2013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>
      <w:pPr>
        <w:pStyle w:val="Normal1"/>
        <w:numPr>
          <w:ilvl w:val="0"/>
          <w:numId w:val="1"/>
        </w:numPr>
        <w:spacing w:lineRule="auto" w:line="360"/>
        <w:ind w:left="0" w:hanging="0"/>
        <w:jc w:val="both"/>
        <w:rPr/>
      </w:pPr>
      <w:r>
        <w:rPr>
          <w:rFonts w:eastAsia="Arial" w:cs="Arial" w:ascii="Arial" w:hAnsi="Arial"/>
          <w:b/>
        </w:rPr>
        <w:t>CLÁUSULA SEXTA: DO PAGAMENTO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 fornecedor será remunerado exclusivamente de acordo com os itens, quantidades e preços previstos no edital;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O pagamento será realizado no prazo de até 30 (trinta) dias da entrega dos gêneros alimentícios e será creditado em nome da contratada, mediante ordem bancária em conta-corrente por ela indicada ou, por meio de ordem bancária para pagamento de faturas, uma vez satisfeitas às condições estabelecidas;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Em casos de eventuais atrasos de pagamento, provocados exclusivamente pela Administração, a mesma deverá pagar multa de 2%, mais juros de 0,1% ao dia, sobre o valor da parcela vencida. Ressalvados os casos quando não efetivados os repasses mensais de recursos do FNDE em tempo hábil;</w:t>
      </w:r>
    </w:p>
    <w:p>
      <w:pPr>
        <w:pStyle w:val="Normal1"/>
        <w:numPr>
          <w:ilvl w:val="1"/>
          <w:numId w:val="1"/>
        </w:numPr>
        <w:spacing w:lineRule="auto" w:line="360"/>
        <w:ind w:left="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No valor mencionado acima estão incluídas as despesas com frete, embalagens, recursos humanos e materiais, assim como com os encargos fiscais, sociais, comerciais, trabalhistas e previdenciários e quaisquer outras despesas necessárias ao cumprimento das obrigações decorrentes do presente contrato.</w:t>
      </w:r>
    </w:p>
    <w:p>
      <w:pPr>
        <w:pStyle w:val="Normal1"/>
        <w:numPr>
          <w:ilvl w:val="0"/>
          <w:numId w:val="1"/>
        </w:numPr>
        <w:spacing w:lineRule="auto" w:line="360"/>
        <w:ind w:left="0" w:hanging="0"/>
        <w:jc w:val="both"/>
        <w:rPr/>
      </w:pPr>
      <w:r>
        <w:rPr>
          <w:rFonts w:eastAsia="Arial" w:cs="Arial" w:ascii="Arial" w:hAnsi="Arial"/>
          <w:b/>
        </w:rPr>
        <w:t>CLÁUSULA SÉTIMA: DAS PENALIDADES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ADVERTÊNCIA: A penalidade de advertência poderá ser aplicada nas seguintes hipóteses: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Descumprimento das obrigações assumidas contratualmente ou na licitação, desde que não acarrete prejuízos para a entidade, independentemente da aplicação de multa moratória.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Outras ocorrências que possam acarretar pequenos transtornos ao desenvolvimento dos serviços da entidade, independentemente da aplicação de multa moratória.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MULTA: A entidade poderá aplicar à licitante ou contratada, multa moratória e multa por inexecução contratual: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Multa Moratória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multa moratória poderá ser cobrada pelo atraso injustificado, entrega em desacordo com o solicitado no objeto ou de prazos estipulados no Edital para os compromissos assumidos.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multa moratória será de 0,50% (cinquenta centésimos por cento) por dia corrido de atraso, sobre o valor da NOTA DE EMPENHO, até o máximo de 05(cinco) dias de atraso. Após esse prazo, poderá, também, ser rescindido o contrato e/ou imputada à licitante vencedora a pena de SUSPENSÃO.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multa moratória será de 0,50% (cinquenta centésimos por cento) pela entrega em desacordo com as exigências do edital, sobre o valor total da NOTA DE EMPENHO, por infração, com prazo de até 05 (cinco) dias consecutivos para a efetiva adequação. Após (duas) infrações e/ou após o prazo para adequação, poderá, também, ser rescindido o contrato e/ou imputada à licitante vencedora a pena de SUSPENSÃO.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Multa por Inexecução Contratual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multa por inexecução contratual poderá ser aplicada no percentual de 10% (dez por cento) ao mês, pró-rata-dia, sobre a respectiva fatura, acrescida de correção monetária e juros de 12 (doze por cento) ao ano.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O atraso injustificado na assinatura do contrato ou a rescisão do mesmo por culpa da contratada implicará em multa de 10% (dez por cento) sobre o valor total da proposta, independentemente da penalidade de suspensão.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SUSPENSÃO: A suspensão temporária do direito de licitar e contratar com o Instituto Federal Farroupilha destina-se aos inadimplentes culposos que prejudicarem a execução do contrato por fatos graves, cabendo defesa prévia, no prazo de 5 (cinco) dias úteis da data do recebimento da intimação, podendo ser aplicada nas seguintes hipóteses pelos seguintes períodos: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Por 6 (seis) meses: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Atraso no cumprimento das obrigações assumidas, que tenham acarretado prejuízo à entidade.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Execução insatisfatória do contrato, se antes tiver havido aplicação da sanção de advertência.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Por 1 (um) ano: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Na ocorrência de qualquer ato ilícito praticado pelo licitante visando frustrar seus objetivos ou que inviabilize a licitação, resultando na necessidade de promover novo procedimento licitatório.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Recusar-se a assinar o Termo de Contrato e Retirar a Nota de Empenho dentro do prazo estabelecido.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Por 2 (dois) anos quando a licitante ou contratada: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Se recusar a fornecer informações suficientes ou fornecê-las inadequadamente;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Cometer atos ilícitos que acarretem prejuízo à entidade, ensejando a rescisão do contrato;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Tiver sofrido condenação definitiva por praticar, por meios dolosos, fraude fiscal no recolhimento de quaisquer tributos;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Apresentar a entidade qualquer documento falso ou falsificado, no todo ou em parte, para participar da licitação;</w:t>
      </w:r>
    </w:p>
    <w:p>
      <w:pPr>
        <w:pStyle w:val="Normal1"/>
        <w:numPr>
          <w:ilvl w:val="3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Demonstrar, a qualquer tempo, não possuir idoneidade para licitar e contratar com a entidade.</w:t>
      </w:r>
    </w:p>
    <w:p>
      <w:pPr>
        <w:pStyle w:val="Normal1"/>
        <w:numPr>
          <w:ilvl w:val="0"/>
          <w:numId w:val="1"/>
        </w:numPr>
        <w:spacing w:lineRule="auto" w:line="360" w:before="0" w:after="120"/>
        <w:ind w:left="0" w:hanging="0"/>
        <w:jc w:val="both"/>
        <w:rPr/>
      </w:pPr>
      <w:r>
        <w:rPr>
          <w:rFonts w:eastAsia="Arial" w:cs="Arial" w:ascii="Arial" w:hAnsi="Arial"/>
          <w:b/>
          <w:color w:val="000000"/>
        </w:rPr>
        <w:t>CLÁUSULA OITAVA: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O CONTRATANTE em razão da supremacia do interesse público sobre os interesses particulares poderá: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modificar unilateralmente o contrato para melhor adequação às finalidades de interesse público, respeitando os direitos do CONTRATADO;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rescindir unilateralmente o contrato, nos casos de infração contratual ou Inaptidão do CONTRATADO;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fiscalizar a execução do contrato;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aplicar sanções motivadas pela inexecução total ou parcial do ajuste;</w:t>
      </w:r>
    </w:p>
    <w:p>
      <w:pPr>
        <w:pStyle w:val="Normal1"/>
        <w:numPr>
          <w:ilvl w:val="0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CLÁUSULA NOVA: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Este Contrato poderá ser aditado a qualquer tempo, mediante acordo formal entre as partes, resguardadas as suas condições essenciais.</w:t>
      </w:r>
    </w:p>
    <w:p>
      <w:pPr>
        <w:pStyle w:val="Normal1"/>
        <w:numPr>
          <w:ilvl w:val="0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CLÁUSULA DÉCIMA: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>
      <w:pPr>
        <w:pStyle w:val="Normal1"/>
        <w:numPr>
          <w:ilvl w:val="0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CLÁUSULA DÉCIMA PRIMEIRA: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Este Contrato, desde que observada à formalização preliminar à sua efetivação, por carta, consoante Cláusula Décima, poderá ser rescindido, de pleno direito, independente de notificação ou interpelação judicial ou extrajudicial, nos seguintes casos: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por acordo em as partes;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pela inobservância de qualquer de suas condições;</w:t>
      </w:r>
    </w:p>
    <w:p>
      <w:pPr>
        <w:pStyle w:val="Normal1"/>
        <w:numPr>
          <w:ilvl w:val="2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por quaisquer dos motivos previstos em lei.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>
      <w:pPr>
        <w:pStyle w:val="Normal1"/>
        <w:numPr>
          <w:ilvl w:val="0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CLÁUSULA DÉCIMA SEGUNDA: DOS CASOS OMISSOS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Os casos omisso serão decididos pela CONTRATANTE, segundo as disposições contidas na Lei nº 8.666, de 1993 e demais normas federais de licitações e contratos administrativos e, subsidiariamente, segundo as disposições contidas no Código de Defesa do Consumidor e Código Civil e demais normas e princípios gerais dos contratos.</w:t>
      </w:r>
    </w:p>
    <w:p>
      <w:pPr>
        <w:pStyle w:val="Normal1"/>
        <w:numPr>
          <w:ilvl w:val="0"/>
          <w:numId w:val="1"/>
        </w:numPr>
        <w:spacing w:lineRule="auto" w:line="360" w:before="0" w:after="120"/>
        <w:ind w:left="0" w:hanging="0"/>
        <w:jc w:val="both"/>
        <w:rPr/>
      </w:pPr>
      <w:r>
        <w:rPr>
          <w:rFonts w:eastAsia="Arial" w:cs="Arial" w:ascii="Arial" w:hAnsi="Arial"/>
          <w:b/>
          <w:color w:val="000000"/>
        </w:rPr>
        <w:t>CLÁUSULA DÉCIMA SEGUNDA: DO FORO</w:t>
      </w:r>
    </w:p>
    <w:p>
      <w:pPr>
        <w:pStyle w:val="Normal1"/>
        <w:numPr>
          <w:ilvl w:val="1"/>
          <w:numId w:val="1"/>
        </w:numPr>
        <w:spacing w:lineRule="auto" w:line="360" w:before="0" w:after="120"/>
        <w:ind w:left="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É competente o Foro da Comarca de Santa Maria para dirimir qualquer controvérsia que se originar deste contrato.</w:t>
      </w:r>
    </w:p>
    <w:p>
      <w:pPr>
        <w:pStyle w:val="Normal1"/>
        <w:spacing w:lineRule="auto" w:line="360" w:before="0" w:after="12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360" w:before="0" w:after="12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E, por estarem assim, justos e contratados, assinam o presente instrumento em duas vias de igual teor e forma, na presença de duas testemunhas.</w:t>
      </w:r>
    </w:p>
    <w:p>
      <w:pPr>
        <w:pStyle w:val="Normal1"/>
        <w:spacing w:lineRule="auto" w:line="360" w:before="0" w:after="12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360" w:before="0" w:after="120"/>
        <w:jc w:val="righ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XXXXXXXXX, ____de________ de 2022.</w:t>
      </w:r>
    </w:p>
    <w:p>
      <w:pPr>
        <w:pStyle w:val="Normal1"/>
        <w:spacing w:lineRule="auto" w:line="360" w:before="0" w:after="12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360" w:before="0" w:after="12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360" w:before="0" w:after="12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360" w:before="0" w:after="12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tbl>
      <w:tblPr>
        <w:tblStyle w:val="Table1"/>
        <w:tblW w:w="966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904"/>
        <w:gridCol w:w="4764"/>
      </w:tblGrid>
      <w:tr>
        <w:trPr/>
        <w:tc>
          <w:tcPr>
            <w:tcW w:w="4904" w:type="dxa"/>
            <w:tcBorders/>
            <w:shd w:fill="auto" w:val="clear"/>
          </w:tcPr>
          <w:p>
            <w:pPr>
              <w:pStyle w:val="Normal1"/>
              <w:widowControl w:val="false"/>
              <w:pBdr/>
              <w:spacing w:lineRule="auto" w:line="360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RESPONSÁVEL LEGAL CONTRATADA</w:t>
            </w:r>
          </w:p>
          <w:p>
            <w:pPr>
              <w:pStyle w:val="Normal1"/>
              <w:widowControl w:val="false"/>
              <w:pBdr/>
              <w:spacing w:lineRule="auto" w:line="3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_________________________</w:t>
            </w:r>
          </w:p>
          <w:p>
            <w:pPr>
              <w:pStyle w:val="Normal1"/>
              <w:widowControl w:val="false"/>
              <w:pBdr/>
              <w:spacing w:lineRule="auto" w:line="3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xxxxxxxxxxxxxxx</w:t>
            </w:r>
          </w:p>
          <w:p>
            <w:pPr>
              <w:pStyle w:val="Normal1"/>
              <w:widowControl w:val="false"/>
              <w:pBdr/>
              <w:spacing w:lineRule="auto" w:line="240" w:before="0" w:after="120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</w:r>
          </w:p>
        </w:tc>
        <w:tc>
          <w:tcPr>
            <w:tcW w:w="4764" w:type="dxa"/>
            <w:tcBorders/>
            <w:shd w:fill="auto" w:val="clear"/>
          </w:tcPr>
          <w:p>
            <w:pPr>
              <w:pStyle w:val="Normal1"/>
              <w:widowControl w:val="false"/>
              <w:pBdr/>
              <w:spacing w:lineRule="auto" w:line="360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RESPONSÁVEL LEGAL CONTRATANTE:</w:t>
            </w:r>
          </w:p>
          <w:p>
            <w:pPr>
              <w:pStyle w:val="Normal1"/>
              <w:widowControl w:val="false"/>
              <w:pBdr/>
              <w:spacing w:lineRule="auto" w:line="3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_________________________</w:t>
            </w:r>
          </w:p>
          <w:p>
            <w:pPr>
              <w:pStyle w:val="Normal1"/>
              <w:widowControl w:val="false"/>
              <w:pBdr/>
              <w:spacing w:lineRule="auto" w:line="3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XXXXXXXXXXXXX</w:t>
            </w:r>
          </w:p>
        </w:tc>
      </w:tr>
      <w:tr>
        <w:trPr/>
        <w:tc>
          <w:tcPr>
            <w:tcW w:w="4904" w:type="dxa"/>
            <w:tcBorders/>
            <w:shd w:fill="auto" w:val="clear"/>
          </w:tcPr>
          <w:p>
            <w:pPr>
              <w:pStyle w:val="Normal1"/>
              <w:widowControl w:val="false"/>
              <w:pBdr/>
              <w:spacing w:lineRule="auto" w:line="360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TESTEMUNHA 1:</w:t>
            </w:r>
          </w:p>
          <w:p>
            <w:pPr>
              <w:pStyle w:val="Normal1"/>
              <w:widowControl w:val="false"/>
              <w:pBdr/>
              <w:spacing w:lineRule="auto" w:line="3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__________________________________</w:t>
            </w:r>
          </w:p>
          <w:p>
            <w:pPr>
              <w:pStyle w:val="Normal1"/>
              <w:widowControl w:val="false"/>
              <w:pBdr/>
              <w:spacing w:lineRule="auto" w:line="3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XXXXXXXXXXXXXXX</w:t>
            </w:r>
          </w:p>
        </w:tc>
        <w:tc>
          <w:tcPr>
            <w:tcW w:w="4764" w:type="dxa"/>
            <w:tcBorders/>
            <w:shd w:fill="auto" w:val="clear"/>
          </w:tcPr>
          <w:p>
            <w:pPr>
              <w:pStyle w:val="Normal1"/>
              <w:widowControl w:val="false"/>
              <w:pBdr/>
              <w:spacing w:lineRule="auto" w:line="360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TESTEMUNHA 2:</w:t>
            </w:r>
          </w:p>
          <w:p>
            <w:pPr>
              <w:pStyle w:val="Normal1"/>
              <w:widowControl w:val="false"/>
              <w:pBdr/>
              <w:spacing w:lineRule="auto" w:line="3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_________________________________</w:t>
            </w:r>
          </w:p>
          <w:p>
            <w:pPr>
              <w:pStyle w:val="Normal1"/>
              <w:widowControl w:val="false"/>
              <w:pBdr/>
              <w:spacing w:lineRule="auto" w:line="3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XXXXXXXXXXXXXX</w:t>
            </w:r>
          </w:p>
        </w:tc>
      </w:tr>
    </w:tbl>
    <w:p>
      <w:pPr>
        <w:pStyle w:val="Normal1"/>
        <w:spacing w:lineRule="auto" w:line="360"/>
        <w:rPr>
          <w:rFonts w:ascii="Arial" w:hAnsi="Arial" w:eastAsia="Arial" w:cs="Arial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134" w:footer="720" w:bottom="1134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Helvetica Neu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pBdr/>
      <w:tabs>
        <w:tab w:val="clear" w:pos="720"/>
        <w:tab w:val="center" w:pos="4819" w:leader="none"/>
        <w:tab w:val="right" w:pos="9638" w:leader="none"/>
      </w:tabs>
      <w:jc w:val="center"/>
      <w:rPr>
        <w:color w:val="000000"/>
      </w:rPr>
    </w:pPr>
    <w:r>
      <w:rPr>
        <w:rFonts w:eastAsia="Helvetica Neue" w:cs="Helvetica Neue" w:ascii="Helvetica Neue" w:hAnsi="Helvetica Neue"/>
        <w:color w:val="333333"/>
        <w:sz w:val="20"/>
        <w:szCs w:val="20"/>
        <w:highlight w:val="white"/>
      </w:rPr>
      <w:t>RST 527 – Estrada de Acesso Secundário para Tupanciretã S/N, Interior, Distrito de São João do Barro Preto, CEP 98.130-000, Júlio de Castilhos - Rio Grande do Sul. Telefone: (55) 3271-</w:t>
    </w:r>
    <w:r>
      <w:rPr>
        <w:rFonts w:eastAsia="Helvetica Neue" w:cs="Helvetica Neue" w:ascii="Helvetica Neue" w:hAnsi="Helvetica Neue"/>
        <w:color w:val="333333"/>
        <w:sz w:val="20"/>
        <w:szCs w:val="20"/>
      </w:rPr>
      <w:t>9596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pBdr/>
      <w:jc w:val="center"/>
      <w:rPr>
        <w:rFonts w:ascii="Calibri" w:hAnsi="Calibri" w:eastAsia="Calibri" w:cs="Calibri"/>
        <w:color w:val="000000"/>
      </w:rPr>
    </w:pPr>
    <w:r>
      <w:rPr/>
      <w:drawing>
        <wp:inline distT="0" distB="0" distL="0" distR="0">
          <wp:extent cx="533400" cy="542925"/>
          <wp:effectExtent l="0" t="0" r="0" b="0"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pBdr/>
      <w:jc w:val="center"/>
      <w:rPr>
        <w:rFonts w:ascii="Arial" w:hAnsi="Arial" w:eastAsia="Arial" w:cs="Arial"/>
        <w:b/>
        <w:b/>
        <w:color w:val="000000"/>
        <w:sz w:val="20"/>
        <w:szCs w:val="20"/>
      </w:rPr>
    </w:pPr>
    <w:r>
      <w:rPr>
        <w:rFonts w:eastAsia="Arial" w:cs="Arial" w:ascii="Arial" w:hAnsi="Arial"/>
        <w:b/>
        <w:color w:val="000000"/>
        <w:sz w:val="20"/>
        <w:szCs w:val="20"/>
      </w:rPr>
      <w:t>MINISTÉRIO DA EDUCAÇÃO</w:t>
    </w:r>
  </w:p>
  <w:p>
    <w:pPr>
      <w:pStyle w:val="Normal1"/>
      <w:pBdr/>
      <w:jc w:val="center"/>
      <w:rPr>
        <w:rFonts w:ascii="Arial" w:hAnsi="Arial" w:eastAsia="Arial" w:cs="Arial"/>
        <w:color w:val="000000"/>
        <w:sz w:val="14"/>
        <w:szCs w:val="14"/>
      </w:rPr>
    </w:pPr>
    <w:r>
      <w:rPr>
        <w:rFonts w:eastAsia="Arial" w:cs="Arial" w:ascii="Arial" w:hAnsi="Arial"/>
        <w:color w:val="000000"/>
        <w:sz w:val="14"/>
        <w:szCs w:val="14"/>
      </w:rPr>
      <w:t>INSTITUTO FEDERAL FARROUPILHA</w:t>
    </w:r>
  </w:p>
  <w:p>
    <w:pPr>
      <w:pStyle w:val="Normal1"/>
      <w:pBdr/>
      <w:jc w:val="center"/>
      <w:rPr>
        <w:rFonts w:ascii="Arial" w:hAnsi="Arial" w:eastAsia="Arial" w:cs="Arial"/>
        <w:color w:val="000000"/>
        <w:sz w:val="14"/>
        <w:szCs w:val="14"/>
      </w:rPr>
    </w:pPr>
    <w:r>
      <w:rPr>
        <w:rFonts w:eastAsia="Arial" w:cs="Arial" w:ascii="Arial" w:hAnsi="Arial"/>
        <w:color w:val="000000"/>
        <w:sz w:val="14"/>
        <w:szCs w:val="14"/>
      </w:rPr>
      <w:t>Campus Júlio de Castilhos</w:t>
    </w:r>
  </w:p>
  <w:p>
    <w:pPr>
      <w:pStyle w:val="Normal1"/>
      <w:pBdr/>
      <w:jc w:val="center"/>
      <w:rPr>
        <w:rFonts w:ascii="Arial" w:hAnsi="Arial" w:eastAsia="Arial" w:cs="Arial"/>
        <w:color w:val="000000"/>
        <w:sz w:val="14"/>
        <w:szCs w:val="14"/>
      </w:rPr>
    </w:pPr>
    <w:r>
      <w:rPr>
        <w:rFonts w:eastAsia="Arial" w:cs="Arial" w:ascii="Arial" w:hAnsi="Arial"/>
        <w:color w:val="000000"/>
        <w:sz w:val="14"/>
        <w:szCs w:val="14"/>
      </w:rPr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column">
                <wp:posOffset>-114300</wp:posOffset>
              </wp:positionH>
              <wp:positionV relativeFrom="paragraph">
                <wp:posOffset>88900</wp:posOffset>
              </wp:positionV>
              <wp:extent cx="88265" cy="45085"/>
              <wp:effectExtent l="0" t="0" r="0" b="0"/>
              <wp:wrapSquare wrapText="bothSides"/>
              <wp:docPr id="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480" cy="44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120"/>
                            <w:ind w:left="0" w:right="0" w:hanging="0"/>
                            <w:jc w:val="right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1" stroked="f" style="position:absolute;margin-left:-9pt;margin-top:7pt;width:6.85pt;height:3.45pt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120"/>
                      <w:ind w:left="0" w:right="0" w:hanging="0"/>
                      <w:jc w:val="right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 %1 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 %1.%2 "/>
      <w:lvlJc w:val="left"/>
      <w:pPr>
        <w:tabs>
          <w:tab w:val="num" w:pos="0"/>
        </w:tabs>
        <w:ind w:left="0" w:hanging="0"/>
      </w:pPr>
    </w:lvl>
    <w:lvl w:ilvl="2">
      <w:start w:val="1"/>
      <w:numFmt w:val="decimal"/>
      <w:lvlText w:val=" %1.%2.%3 "/>
      <w:lvlJc w:val="left"/>
      <w:pPr>
        <w:tabs>
          <w:tab w:val="num" w:pos="0"/>
        </w:tabs>
        <w:ind w:left="0" w:hanging="0"/>
      </w:pPr>
    </w:lvl>
    <w:lvl w:ilvl="3">
      <w:start w:val="1"/>
      <w:numFmt w:val="decimal"/>
      <w:lvlText w:val=" %1.%2.%3.%4 "/>
      <w:lvlJc w:val="left"/>
      <w:pPr>
        <w:tabs>
          <w:tab w:val="num" w:pos="0"/>
        </w:tabs>
        <w:ind w:left="0" w:hanging="0"/>
      </w:pPr>
    </w:lvl>
    <w:lvl w:ilvl="4">
      <w:start w:val="1"/>
      <w:numFmt w:val="decimal"/>
      <w:lvlText w:val=" %1.%2.%3.%4.%5 "/>
      <w:lvlJc w:val="left"/>
      <w:pPr>
        <w:tabs>
          <w:tab w:val="num" w:pos="0"/>
        </w:tabs>
        <w:ind w:left="0" w:hanging="0"/>
      </w:pPr>
    </w:lvl>
    <w:lvl w:ilvl="5">
      <w:start w:val="1"/>
      <w:numFmt w:val="decimal"/>
      <w:lvlText w:val=" %1.%2.%3.%4.%5.%6 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Text w:val=" %1.%2.%3.%4.%5.%6.%7 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Text w:val=" %1.%2.%3.%4.%5.%6.%7.%8 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Text w:val=" %1.%2.%3.%4.%5.%6.%7.%8.%9 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spacing w:lineRule="auto" w:line="240" w:before="240" w:after="40"/>
    </w:pPr>
    <w:rPr>
      <w:b/>
    </w:rPr>
  </w:style>
  <w:style w:type="paragraph" w:styleId="Ttulo5">
    <w:name w:val="Heading 5"/>
    <w:basedOn w:val="Normal1"/>
    <w:next w:val="Normal1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LO-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LibreOffice/7.0.0.3$Windows_X86_64 LibreOffice_project/8061b3e9204bef6b321a21033174034a5e2ea88e</Application>
  <Pages>8</Pages>
  <Words>1985</Words>
  <Characters>11514</Characters>
  <CharactersWithSpaces>13485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2022-06-28T10:45:28Z</dcterms:modified>
  <cp:revision>1</cp:revision>
  <dc:subject/>
  <dc:title/>
</cp:coreProperties>
</file>