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numPr>
          <w:ilvl w:val="0"/>
          <w:numId w:val="0"/>
        </w:numPr>
        <w:spacing w:lineRule="auto" w:line="276" w:before="0" w:after="0"/>
        <w:ind w:left="0" w:right="0" w:hanging="0"/>
        <w:jc w:val="center"/>
        <w:rPr>
          <w:rFonts w:ascii="Arial" w:hAnsi="Arial" w:cs="Times New Roman"/>
          <w:b/>
          <w:b/>
          <w:sz w:val="20"/>
          <w:szCs w:val="20"/>
        </w:rPr>
      </w:pPr>
      <w:r>
        <w:rPr>
          <w:rFonts w:cs="Times New Roman" w:ascii="Arial" w:hAnsi="Arial"/>
          <w:b/>
          <w:sz w:val="20"/>
          <w:szCs w:val="20"/>
        </w:rPr>
        <w:t>ANEXO II</w:t>
      </w:r>
    </w:p>
    <w:p>
      <w:pPr>
        <w:pStyle w:val="Normal"/>
        <w:spacing w:lineRule="auto" w:line="360" w:before="0" w:after="0"/>
        <w:ind w:left="482" w:right="0" w:firstLine="31"/>
        <w:jc w:val="center"/>
        <w:rPr>
          <w:rFonts w:ascii="Arial" w:hAnsi="Arial" w:cs="Arial"/>
          <w:b/>
          <w:b/>
          <w:bCs/>
          <w:iCs/>
          <w:color w:val="000000"/>
          <w:sz w:val="20"/>
          <w:szCs w:val="20"/>
        </w:rPr>
      </w:pPr>
      <w:r>
        <w:rPr>
          <w:rFonts w:cs="Arial" w:ascii="Arial" w:hAnsi="Arial"/>
          <w:b/>
          <w:bCs/>
          <w:iCs/>
          <w:color w:val="000000"/>
          <w:sz w:val="20"/>
          <w:szCs w:val="20"/>
        </w:rPr>
      </w:r>
    </w:p>
    <w:p>
      <w:pPr>
        <w:pStyle w:val="Normal"/>
        <w:spacing w:lineRule="auto" w:line="360" w:before="0" w:after="0"/>
        <w:ind w:left="482" w:right="0" w:firstLine="31"/>
        <w:jc w:val="center"/>
        <w:rPr>
          <w:rFonts w:ascii="Arial" w:hAnsi="Arial" w:cs="Arial"/>
          <w:b/>
          <w:b/>
          <w:bCs/>
          <w:iCs/>
          <w:color w:val="000000"/>
          <w:sz w:val="20"/>
          <w:szCs w:val="20"/>
        </w:rPr>
      </w:pPr>
      <w:r>
        <w:rPr>
          <w:rFonts w:cs="Arial" w:ascii="Arial" w:hAnsi="Arial"/>
          <w:b/>
          <w:bCs/>
          <w:iCs/>
          <w:color w:val="000000"/>
          <w:sz w:val="20"/>
          <w:szCs w:val="20"/>
        </w:rPr>
        <w:t>ATA DE REGISTRO DE PREÇOS</w:t>
      </w:r>
    </w:p>
    <w:p>
      <w:pPr>
        <w:pStyle w:val="Normal"/>
        <w:jc w:val="center"/>
        <w:rPr>
          <w:rFonts w:ascii="Arial" w:hAnsi="Arial" w:cs="Arial"/>
          <w:b/>
          <w:b/>
          <w:bCs/>
          <w:iCs/>
          <w:sz w:val="20"/>
          <w:szCs w:val="20"/>
        </w:rPr>
      </w:pPr>
      <w:r>
        <w:rPr>
          <w:rFonts w:cs="Arial" w:ascii="Arial" w:hAnsi="Arial"/>
          <w:b/>
          <w:bCs/>
          <w:iCs/>
          <w:sz w:val="20"/>
          <w:szCs w:val="20"/>
        </w:rPr>
        <w:t>(PRESTAÇÃO DE SERVIÇOS)</w:t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widowControl w:val="false"/>
        <w:ind w:left="0" w:right="0" w:hanging="0"/>
        <w:jc w:val="center"/>
        <w:rPr>
          <w:rFonts w:ascii="Arial" w:hAnsi="Arial" w:cs="Arial"/>
          <w:b/>
          <w:b/>
          <w:i/>
          <w:i/>
          <w:color w:val="FF0000"/>
          <w:sz w:val="20"/>
          <w:szCs w:val="20"/>
        </w:rPr>
      </w:pPr>
      <w:r>
        <w:rPr>
          <w:rFonts w:cs="Arial" w:ascii="Arial" w:hAnsi="Arial"/>
          <w:b/>
          <w:i/>
          <w:color w:val="FF0000"/>
          <w:sz w:val="20"/>
          <w:szCs w:val="20"/>
        </w:rPr>
        <w:t>Instituto Federal Farroupilha – Campus Santa Rosa</w:t>
      </w:r>
    </w:p>
    <w:p>
      <w:pPr>
        <w:pStyle w:val="Normal"/>
        <w:widowControl w:val="false"/>
        <w:ind w:left="0" w:right="0" w:hanging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ATA DE REGISTRO DE PREÇOS </w:t>
      </w:r>
    </w:p>
    <w:p>
      <w:pPr>
        <w:pStyle w:val="Normal"/>
        <w:widowControl w:val="false"/>
        <w:ind w:left="0" w:right="0" w:hanging="0"/>
        <w:jc w:val="center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N.º .........</w:t>
      </w:r>
    </w:p>
    <w:p>
      <w:pPr>
        <w:pStyle w:val="Normal"/>
        <w:widowControl w:val="false"/>
        <w:ind w:left="0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widowControl w:val="false"/>
        <w:tabs>
          <w:tab w:val="center" w:pos="4779" w:leader="none"/>
          <w:tab w:val="right" w:pos="9198" w:leader="none"/>
        </w:tabs>
        <w:ind w:left="0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widowControl w:val="false"/>
        <w:tabs>
          <w:tab w:val="center" w:pos="4779" w:leader="none"/>
          <w:tab w:val="right" w:pos="9198" w:leader="none"/>
        </w:tabs>
        <w:ind w:left="0" w:right="0" w:hanging="0"/>
        <w:jc w:val="both"/>
        <w:rPr/>
      </w:pPr>
      <w:r>
        <w:rPr>
          <w:rFonts w:cs="Arial" w:ascii="Arial" w:hAnsi="Arial"/>
          <w:sz w:val="20"/>
          <w:szCs w:val="20"/>
        </w:rPr>
        <w:t>O I</w:t>
      </w:r>
      <w:r>
        <w:rPr>
          <w:rFonts w:cs="Arial" w:ascii="Arial" w:hAnsi="Arial"/>
          <w:sz w:val="21"/>
          <w:szCs w:val="21"/>
        </w:rPr>
        <w:t>nstituto Federal Farroupilha – Câmpus Santa Rosa/RS, com sede na Rua Uruguai, 1.675, Bairro Central, na cidade de Santa Rosa, Estado do Rio Grande do Sul</w:t>
      </w:r>
      <w:r>
        <w:rPr>
          <w:rFonts w:cs="Arial" w:ascii="Arial" w:hAnsi="Arial"/>
          <w:sz w:val="20"/>
          <w:szCs w:val="20"/>
        </w:rPr>
        <w:t xml:space="preserve">, inscrito(a) no CNPJ/MF sob o nº </w:t>
      </w:r>
      <w:r>
        <w:rPr>
          <w:rFonts w:cs="Arial" w:ascii="Arial" w:hAnsi="Arial"/>
          <w:sz w:val="21"/>
          <w:szCs w:val="21"/>
        </w:rPr>
        <w:t>10.662.072/0008-24</w:t>
      </w:r>
      <w:r>
        <w:rPr>
          <w:rFonts w:cs="Arial" w:ascii="Arial" w:hAnsi="Arial"/>
          <w:sz w:val="20"/>
          <w:szCs w:val="20"/>
        </w:rPr>
        <w:t xml:space="preserve">, neste ato representado pelo </w:t>
      </w:r>
      <w:r>
        <w:rPr>
          <w:rFonts w:cs="Arial" w:ascii="Arial" w:hAnsi="Arial"/>
          <w:sz w:val="21"/>
          <w:szCs w:val="21"/>
        </w:rPr>
        <w:t>Diretor Geral, Marcelo Eder Lamb</w:t>
      </w:r>
      <w:r>
        <w:rPr>
          <w:rFonts w:cs="Arial" w:ascii="Arial" w:hAnsi="Arial"/>
          <w:sz w:val="20"/>
          <w:szCs w:val="20"/>
        </w:rPr>
        <w:t xml:space="preserve">, nomeado(a) pela  </w:t>
      </w:r>
      <w:r>
        <w:rPr>
          <w:rFonts w:cs="Arial" w:ascii="Arial" w:hAnsi="Arial"/>
          <w:sz w:val="21"/>
          <w:szCs w:val="21"/>
          <w:lang w:eastAsia="zxx" w:bidi="zxx"/>
        </w:rPr>
        <w:t>Portaria n.º 677, de 12 de maio de 2015, publicada no DOU em 14 de maio de 2015</w:t>
      </w:r>
      <w:r>
        <w:rPr>
          <w:rFonts w:cs="Arial" w:ascii="Arial" w:hAnsi="Arial"/>
          <w:sz w:val="21"/>
          <w:szCs w:val="21"/>
        </w:rPr>
        <w:t>, inscrito no CPF sob o nº 894.062.490-49, portador da Carteira de Identidade nº 2010339808</w:t>
      </w:r>
      <w:r>
        <w:rPr>
          <w:rFonts w:cs="Arial" w:ascii="Arial" w:hAnsi="Arial"/>
          <w:sz w:val="20"/>
          <w:szCs w:val="20"/>
        </w:rPr>
        <w:t xml:space="preserve">, considerando o julgamento da licitação na modalidade de pregão, na forma </w:t>
      </w:r>
      <w:r>
        <w:rPr>
          <w:rFonts w:cs="Arial" w:ascii="Arial" w:hAnsi="Arial"/>
          <w:iCs/>
          <w:sz w:val="20"/>
          <w:szCs w:val="20"/>
        </w:rPr>
        <w:t>eletrônica</w:t>
      </w:r>
      <w:r>
        <w:rPr>
          <w:rFonts w:cs="Arial" w:ascii="Arial" w:hAnsi="Arial"/>
          <w:sz w:val="20"/>
          <w:szCs w:val="20"/>
        </w:rPr>
        <w:t>, para REGISTRO DE PREÇOS nº 03/2016, publicada no ...... de ...../...../20....., processo administrativo nº 23242.000</w:t>
      </w:r>
      <w:r>
        <w:rPr>
          <w:rFonts w:cs="Arial" w:ascii="Arial" w:hAnsi="Arial"/>
          <w:sz w:val="20"/>
          <w:szCs w:val="20"/>
        </w:rPr>
        <w:t>693</w:t>
      </w:r>
      <w:r>
        <w:rPr>
          <w:rFonts w:cs="Arial" w:ascii="Arial" w:hAnsi="Arial"/>
          <w:sz w:val="20"/>
          <w:szCs w:val="20"/>
        </w:rPr>
        <w:t>/2016-</w:t>
      </w:r>
      <w:r>
        <w:rPr>
          <w:rFonts w:cs="Arial" w:ascii="Arial" w:hAnsi="Arial"/>
          <w:sz w:val="20"/>
          <w:szCs w:val="20"/>
        </w:rPr>
        <w:t>69</w:t>
      </w:r>
      <w:r>
        <w:rPr>
          <w:rFonts w:cs="Arial" w:ascii="Arial" w:hAnsi="Arial"/>
          <w:sz w:val="20"/>
          <w:szCs w:val="20"/>
        </w:rPr>
        <w:t xml:space="preserve">, RESOLVE registrar os preços da(s)  empresa(s) indicada(s) e qualificada(s) nesta ATA, de acordo com a classificação por ela(s) alcançada(s) e na(s)  quantidade(s)  cotada(s), atendendo as condições previstas no edital, sujeitando-se as partes às normas constantes na Lei nº 8.666, de 21 de junho de 1993 e suas alterações, no </w:t>
      </w:r>
      <w:r>
        <w:rPr>
          <w:rFonts w:cs="Arial" w:ascii="Arial" w:hAnsi="Arial"/>
          <w:iCs/>
          <w:sz w:val="20"/>
          <w:szCs w:val="20"/>
        </w:rPr>
        <w:t>Decreto nº 7.892, de 23 de janeiro de 2013,</w:t>
      </w:r>
      <w:r>
        <w:rPr>
          <w:rFonts w:cs="Arial" w:ascii="Arial" w:hAnsi="Arial"/>
          <w:sz w:val="20"/>
          <w:szCs w:val="20"/>
        </w:rPr>
        <w:t xml:space="preserve"> e em conformidade com as disposições a seguir:</w:t>
      </w:r>
    </w:p>
    <w:p>
      <w:pPr>
        <w:pStyle w:val="Normal"/>
        <w:widowControl w:val="false"/>
        <w:tabs>
          <w:tab w:val="center" w:pos="4779" w:leader="none"/>
          <w:tab w:val="right" w:pos="9198" w:leader="none"/>
        </w:tabs>
        <w:ind w:left="0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ivel1"/>
        <w:numPr>
          <w:ilvl w:val="0"/>
          <w:numId w:val="0"/>
        </w:numPr>
        <w:ind w:left="0" w:righ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1 DO OBJETO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76" w:before="120" w:after="120"/>
        <w:ind w:left="454" w:right="0" w:hanging="454"/>
        <w:jc w:val="both"/>
        <w:rPr/>
      </w:pPr>
      <w:r>
        <w:rPr>
          <w:rFonts w:cs="Arial" w:ascii="Arial" w:hAnsi="Arial"/>
          <w:sz w:val="20"/>
          <w:szCs w:val="20"/>
        </w:rPr>
        <w:t xml:space="preserve">1.1 A presente Ata tem por objeto o registro de preços para a eventual </w:t>
      </w:r>
      <w:r>
        <w:rPr>
          <w:rFonts w:cs="Times New Roman" w:ascii="Arial" w:hAnsi="Arial"/>
          <w:sz w:val="20"/>
          <w:szCs w:val="20"/>
        </w:rPr>
        <w:t xml:space="preserve">Contratação de empresa especializada para a execução de link de conexão a Internet Dedicado com garantia mínima de 100% da velocidade contratada, incluindo fornecimento de equipamentos, instalação e configuração para o </w:t>
      </w:r>
      <w:r>
        <w:rPr>
          <w:rFonts w:cs="Times New Roman" w:ascii="Arial" w:hAnsi="Arial"/>
          <w:color w:val="000000"/>
          <w:sz w:val="20"/>
          <w:szCs w:val="20"/>
        </w:rPr>
        <w:t>Instituto Federal Farroupilha Campus Santa Rosa</w:t>
      </w:r>
      <w:r>
        <w:rPr>
          <w:rFonts w:cs="Arial" w:ascii="Arial" w:hAnsi="Arial"/>
          <w:sz w:val="20"/>
          <w:szCs w:val="20"/>
        </w:rPr>
        <w:t>, e demais unidades participantes, conforme condições, quantidades e exigências estabelecidas neste Edital e seus anexos, que são parte integrante desta Ata, assim como a proposta vencedora, independentemente de transcrição.</w:t>
      </w:r>
    </w:p>
    <w:p>
      <w:pPr>
        <w:pStyle w:val="Nivel1"/>
        <w:keepNext/>
        <w:widowControl/>
        <w:numPr>
          <w:ilvl w:val="0"/>
          <w:numId w:val="0"/>
        </w:numPr>
        <w:bidi w:val="0"/>
        <w:spacing w:lineRule="auto" w:line="276" w:before="480" w:after="120"/>
        <w:ind w:left="0" w:right="0" w:hanging="340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2 DOS PREÇOS, ESPECIFICAÇÕES E QUANTITATIVOS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76" w:before="120" w:after="120"/>
        <w:ind w:left="454" w:right="0" w:firstLine="113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2.1O preço registrado, as especificações do objeto e as demais condições ofertadas na(s) proposta(s) são as que seguem: </w:t>
      </w:r>
    </w:p>
    <w:p>
      <w:pPr>
        <w:pStyle w:val="Normal"/>
        <w:widowControl w:val="false"/>
        <w:ind w:left="792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8647" w:type="dxa"/>
        <w:jc w:val="left"/>
        <w:tblInd w:w="8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0" w:type="dxa"/>
          <w:left w:w="4" w:type="dxa"/>
          <w:bottom w:w="0" w:type="dxa"/>
          <w:right w:w="10" w:type="dxa"/>
        </w:tblCellMar>
      </w:tblPr>
      <w:tblGrid>
        <w:gridCol w:w="503"/>
        <w:gridCol w:w="1482"/>
        <w:gridCol w:w="1133"/>
        <w:gridCol w:w="991"/>
        <w:gridCol w:w="851"/>
        <w:gridCol w:w="1277"/>
        <w:gridCol w:w="1418"/>
        <w:gridCol w:w="991"/>
      </w:tblGrid>
      <w:tr>
        <w:trPr/>
        <w:tc>
          <w:tcPr>
            <w:tcW w:w="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" w:type="dxa"/>
            </w:tcMar>
            <w:vAlign w:val="center"/>
          </w:tcPr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Item</w:t>
            </w:r>
          </w:p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Ou lote</w:t>
            </w:r>
          </w:p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do</w:t>
            </w:r>
          </w:p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TR</w:t>
            </w:r>
          </w:p>
        </w:tc>
        <w:tc>
          <w:tcPr>
            <w:tcW w:w="8143" w:type="dxa"/>
            <w:gridSpan w:val="7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" w:type="dxa"/>
            </w:tcMar>
            <w:vAlign w:val="center"/>
          </w:tcPr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Prestador do serviço</w:t>
            </w:r>
            <w:r>
              <w:rPr>
                <w:rFonts w:cs="Arial" w:ascii="Arial" w:hAnsi="Arial"/>
                <w:color w:val="FF0000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i/>
                <w:color w:val="FF0000"/>
                <w:sz w:val="20"/>
                <w:szCs w:val="20"/>
              </w:rPr>
              <w:t>(razão social, CNPJ/MF, endereço, contatos, representante)</w:t>
            </w:r>
          </w:p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" w:type="dxa"/>
            </w:tcMar>
          </w:tcPr>
          <w:p>
            <w:pPr>
              <w:pStyle w:val="Normal"/>
              <w:widowControl w:val="false"/>
              <w:ind w:left="0" w:right="0" w:hanging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" w:type="dxa"/>
            </w:tcMar>
          </w:tcPr>
          <w:p>
            <w:pPr>
              <w:pStyle w:val="Normal"/>
              <w:widowControl w:val="false"/>
              <w:ind w:left="0" w:right="0" w:hanging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 xml:space="preserve">Especificação </w:t>
            </w:r>
          </w:p>
        </w:tc>
        <w:tc>
          <w:tcPr>
            <w:tcW w:w="1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" w:type="dxa"/>
            </w:tcMar>
          </w:tcPr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Unidade de medida ou tarefa</w:t>
            </w:r>
          </w:p>
        </w:tc>
        <w:tc>
          <w:tcPr>
            <w:tcW w:w="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" w:type="dxa"/>
            </w:tcMar>
          </w:tcPr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Valor</w:t>
            </w:r>
          </w:p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Unitário</w:t>
            </w:r>
          </w:p>
        </w:tc>
        <w:tc>
          <w:tcPr>
            <w:tcW w:w="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" w:type="dxa"/>
            </w:tcMar>
          </w:tcPr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Valor global ou total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" w:type="dxa"/>
            </w:tcMar>
          </w:tcPr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Frequência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" w:type="dxa"/>
            </w:tcMar>
          </w:tcPr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Periodicidade</w:t>
            </w:r>
          </w:p>
        </w:tc>
        <w:tc>
          <w:tcPr>
            <w:tcW w:w="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" w:type="dxa"/>
            </w:tcMar>
          </w:tcPr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Garantia</w:t>
            </w:r>
          </w:p>
        </w:tc>
      </w:tr>
    </w:tbl>
    <w:p>
      <w:pPr>
        <w:pStyle w:val="Nivel1"/>
        <w:numPr>
          <w:ilvl w:val="0"/>
          <w:numId w:val="0"/>
        </w:numPr>
        <w:ind w:left="357" w:right="0" w:hanging="357"/>
        <w:rPr>
          <w:rFonts w:ascii="Arial" w:hAnsi="Arial"/>
          <w:i/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3 ÓRGÃO(S) PARTICIPANTE(S)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425" w:right="0" w:hanging="0"/>
        <w:jc w:val="both"/>
        <w:rPr>
          <w:rFonts w:ascii="Arial" w:hAnsi="Arial" w:cs="Arial"/>
          <w:i/>
          <w:i/>
          <w:iCs/>
          <w:color w:val="000000"/>
          <w:sz w:val="20"/>
          <w:szCs w:val="20"/>
        </w:rPr>
      </w:pPr>
      <w:r>
        <w:rPr>
          <w:rFonts w:cs="Arial" w:ascii="Arial" w:hAnsi="Arial"/>
          <w:i/>
          <w:iCs/>
          <w:color w:val="000000"/>
          <w:sz w:val="20"/>
          <w:szCs w:val="20"/>
        </w:rPr>
        <w:t xml:space="preserve">  </w:t>
      </w:r>
      <w:r>
        <w:rPr>
          <w:rFonts w:cs="Arial" w:ascii="Arial" w:hAnsi="Arial"/>
          <w:i/>
          <w:iCs/>
          <w:color w:val="000000"/>
          <w:sz w:val="20"/>
          <w:szCs w:val="20"/>
        </w:rPr>
        <w:t>3.1São órgãos e entidades públicas participantes do registro de preços:</w:t>
      </w:r>
    </w:p>
    <w:p>
      <w:pPr>
        <w:pStyle w:val="Normal"/>
        <w:widowControl w:val="false"/>
        <w:tabs>
          <w:tab w:val="left" w:pos="2093" w:leader="none"/>
        </w:tabs>
        <w:spacing w:before="240" w:after="0"/>
        <w:ind w:left="792" w:right="0" w:hanging="0"/>
        <w:jc w:val="both"/>
        <w:rPr>
          <w:rFonts w:ascii="Arial" w:hAnsi="Arial" w:cs="Arial"/>
          <w:i/>
          <w:i/>
          <w:iCs/>
          <w:color w:val="FF0000"/>
          <w:sz w:val="20"/>
          <w:szCs w:val="20"/>
        </w:rPr>
      </w:pPr>
      <w:r>
        <w:rPr>
          <w:rFonts w:cs="Arial" w:ascii="Arial" w:hAnsi="Arial"/>
          <w:i/>
          <w:iCs/>
          <w:color w:val="FF0000"/>
          <w:sz w:val="20"/>
          <w:szCs w:val="20"/>
        </w:rPr>
        <w:tab/>
      </w:r>
    </w:p>
    <w:tbl>
      <w:tblPr>
        <w:tblW w:w="8755" w:type="dxa"/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2148"/>
        <w:gridCol w:w="6606"/>
      </w:tblGrid>
      <w:tr>
        <w:trPr/>
        <w:tc>
          <w:tcPr>
            <w:tcW w:w="2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 w:cs="Arial"/>
                <w:i/>
                <w:i/>
                <w:iCs/>
                <w:color w:val="FF0000"/>
                <w:sz w:val="20"/>
                <w:szCs w:val="20"/>
              </w:rPr>
            </w:pPr>
            <w:r>
              <w:rPr>
                <w:rFonts w:cs="Arial" w:ascii="Arial" w:hAnsi="Arial"/>
                <w:i/>
                <w:iCs/>
                <w:color w:val="FF0000"/>
                <w:sz w:val="20"/>
                <w:szCs w:val="20"/>
              </w:rPr>
              <w:t xml:space="preserve">Item nº </w:t>
            </w:r>
          </w:p>
        </w:tc>
        <w:tc>
          <w:tcPr>
            <w:tcW w:w="6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 w:cs="Arial"/>
                <w:i/>
                <w:i/>
                <w:iCs/>
                <w:color w:val="FF0000"/>
                <w:sz w:val="20"/>
                <w:szCs w:val="20"/>
              </w:rPr>
            </w:pPr>
            <w:r>
              <w:rPr>
                <w:rFonts w:cs="Arial" w:ascii="Arial" w:hAnsi="Arial"/>
                <w:i/>
                <w:iCs/>
                <w:color w:val="FF0000"/>
                <w:sz w:val="20"/>
                <w:szCs w:val="20"/>
              </w:rPr>
              <w:t>Órgãos Participantes</w:t>
            </w:r>
          </w:p>
        </w:tc>
      </w:tr>
      <w:tr>
        <w:trPr/>
        <w:tc>
          <w:tcPr>
            <w:tcW w:w="2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 w:cs="Arial"/>
                <w:i/>
                <w:i/>
                <w:iCs/>
                <w:color w:val="FF0000"/>
                <w:sz w:val="20"/>
                <w:szCs w:val="20"/>
              </w:rPr>
            </w:pPr>
            <w:r>
              <w:rPr>
                <w:rFonts w:cs="Arial" w:ascii="Arial" w:hAnsi="Arial"/>
                <w:i/>
                <w:iCs/>
                <w:color w:val="FF0000"/>
                <w:sz w:val="20"/>
                <w:szCs w:val="20"/>
              </w:rPr>
            </w:r>
          </w:p>
        </w:tc>
        <w:tc>
          <w:tcPr>
            <w:tcW w:w="6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 w:cs="Arial"/>
                <w:i/>
                <w:i/>
                <w:iCs/>
                <w:color w:val="0000FF"/>
                <w:sz w:val="20"/>
                <w:szCs w:val="20"/>
              </w:rPr>
            </w:pPr>
            <w:r>
              <w:rPr>
                <w:rFonts w:cs="Arial" w:ascii="Arial" w:hAnsi="Arial"/>
                <w:i/>
                <w:iCs/>
                <w:color w:val="0000FF"/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 w:cs="Arial"/>
                <w:i/>
                <w:i/>
                <w:iCs/>
                <w:color w:val="FF0000"/>
                <w:sz w:val="20"/>
                <w:szCs w:val="20"/>
              </w:rPr>
            </w:pPr>
            <w:r>
              <w:rPr>
                <w:rFonts w:cs="Arial" w:ascii="Arial" w:hAnsi="Arial"/>
                <w:i/>
                <w:iCs/>
                <w:color w:val="FF0000"/>
                <w:sz w:val="20"/>
                <w:szCs w:val="20"/>
              </w:rPr>
            </w:r>
          </w:p>
        </w:tc>
        <w:tc>
          <w:tcPr>
            <w:tcW w:w="6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 w:cs="Arial"/>
                <w:i/>
                <w:i/>
                <w:iCs/>
                <w:color w:val="0000FF"/>
                <w:sz w:val="20"/>
                <w:szCs w:val="20"/>
              </w:rPr>
            </w:pPr>
            <w:r>
              <w:rPr>
                <w:rFonts w:cs="Arial" w:ascii="Arial" w:hAnsi="Arial"/>
                <w:i/>
                <w:iCs/>
                <w:color w:val="0000FF"/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 w:cs="Arial"/>
                <w:i/>
                <w:i/>
                <w:iCs/>
                <w:color w:val="FF0000"/>
                <w:sz w:val="20"/>
                <w:szCs w:val="20"/>
              </w:rPr>
            </w:pPr>
            <w:r>
              <w:rPr>
                <w:rFonts w:cs="Arial" w:ascii="Arial" w:hAnsi="Arial"/>
                <w:i/>
                <w:iCs/>
                <w:color w:val="FF0000"/>
                <w:sz w:val="20"/>
                <w:szCs w:val="20"/>
              </w:rPr>
            </w:r>
          </w:p>
        </w:tc>
        <w:tc>
          <w:tcPr>
            <w:tcW w:w="6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ind w:left="0" w:right="0" w:hanging="0"/>
              <w:jc w:val="center"/>
              <w:rPr>
                <w:rFonts w:ascii="Arial" w:hAnsi="Arial" w:cs="Arial"/>
                <w:i/>
                <w:i/>
                <w:iCs/>
                <w:color w:val="0000FF"/>
                <w:sz w:val="20"/>
                <w:szCs w:val="20"/>
              </w:rPr>
            </w:pPr>
            <w:r>
              <w:rPr>
                <w:rFonts w:cs="Arial" w:ascii="Arial" w:hAnsi="Arial"/>
                <w:i/>
                <w:iCs/>
                <w:color w:val="0000FF"/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ind w:left="0" w:right="0" w:hanging="0"/>
        <w:jc w:val="both"/>
        <w:rPr>
          <w:rFonts w:ascii="Arial" w:hAnsi="Arial" w:cs="Arial"/>
          <w:i/>
          <w:i/>
          <w:iCs/>
          <w:color w:val="FF0000"/>
          <w:sz w:val="20"/>
          <w:szCs w:val="20"/>
        </w:rPr>
      </w:pPr>
      <w:r>
        <w:rPr>
          <w:rFonts w:cs="Arial" w:ascii="Arial" w:hAnsi="Arial"/>
          <w:i/>
          <w:iCs/>
          <w:color w:val="FF0000"/>
          <w:sz w:val="20"/>
          <w:szCs w:val="20"/>
        </w:rPr>
      </w:r>
    </w:p>
    <w:p>
      <w:pPr>
        <w:pStyle w:val="Nivel1"/>
        <w:numPr>
          <w:ilvl w:val="0"/>
          <w:numId w:val="0"/>
        </w:numPr>
        <w:ind w:left="357" w:right="0" w:hanging="357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4. VALIDADE DA ATA 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425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4.1 A validade da Ata de Registro de Preços será de 12 meses, a partir do(a)................................, não podendo ser prorrogada.</w:t>
      </w:r>
    </w:p>
    <w:p>
      <w:pPr>
        <w:pStyle w:val="Nivel1"/>
        <w:numPr>
          <w:ilvl w:val="0"/>
          <w:numId w:val="0"/>
        </w:numPr>
        <w:ind w:left="357" w:right="0" w:hanging="357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5. REVISÃO E CANCELAMENTO </w:t>
      </w:r>
    </w:p>
    <w:p>
      <w:pPr>
        <w:pStyle w:val="ListParagraph"/>
        <w:numPr>
          <w:ilvl w:val="0"/>
          <w:numId w:val="0"/>
        </w:numPr>
        <w:spacing w:lineRule="auto" w:line="276" w:before="120" w:after="120"/>
        <w:ind w:left="425" w:right="0" w:hanging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5.1 A Administração realizará pesquisa de mercado periodicamente, em intervalos não superiores a 180 (cento e oitenta) dias, a fim de verificar a vantajosidade dos preços registrados nesta Ata.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425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5.2 Os preços registrados poderão ser revistos em decorrência de eventual redução dos preços praticados no mercado ou de fato que eleve o custo do objeto registrado, cabendo à Administração promover as negociações junto ao(s) fornecedor(es).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425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5.3 Quando o preço registrado tornar-se superior ao preço praticado no mercado por motivo superveniente, a Administração convocará o(s) fornecedor(es) para negociar(em) a redução dos preços aos valores praticados pelo mercado.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425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5.6 O fornecedor que não aceitar reduzir seu preço ao valor praticado pelo mercado será liberado do compromisso assumido, sem aplicação de penalidade.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1134" w:right="0" w:hanging="0"/>
        <w:jc w:val="both"/>
        <w:rPr>
          <w:rFonts w:ascii="Arial" w:hAnsi="Arial" w:cs="Arial"/>
          <w:i/>
          <w:i/>
          <w:color w:val="FF0000"/>
          <w:sz w:val="20"/>
          <w:szCs w:val="20"/>
        </w:rPr>
      </w:pPr>
      <w:r>
        <w:rPr>
          <w:rFonts w:cs="Arial" w:ascii="Arial" w:hAnsi="Arial"/>
          <w:i/>
          <w:color w:val="FF0000"/>
          <w:sz w:val="20"/>
          <w:szCs w:val="20"/>
        </w:rPr>
        <w:t>5.6.1 A ordem de classificação dos fornecedores que aceitarem reduzir seus preços aos valores de mercado observará a classificação original.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425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5.7 Quando o preço de mercado tornar-se superior aos preços registrados e o fornecedor não puder cumprir o compromisso, o órgão gerenciador poderá: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1134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5.7.1 liberar o fornecedor do compromisso assumido, caso a comunicação ocorra antes do pedido de fornecimento, e sem aplicação da penalidade se confirmada a veracidade dos motivos e comprovantes apresentados; e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1134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5.7.2 </w:t>
      </w:r>
      <w:bookmarkStart w:id="0" w:name="_GoBack3"/>
      <w:bookmarkEnd w:id="0"/>
      <w:r>
        <w:rPr>
          <w:rFonts w:cs="Arial" w:ascii="Arial" w:hAnsi="Arial"/>
          <w:sz w:val="20"/>
          <w:szCs w:val="20"/>
        </w:rPr>
        <w:t>convocar os demais fornecedores para assegurar igual oportunidade de negociação.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425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5.8 Não havendo êxito nas negociações, o órgão gerenciador deverá proceder à revogação desta ata de registro de preços, adotando as medidas cabíveis para obtenção da contratação mais vantajosa.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425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5.9 O registro do fornecedor será cancelado quando: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1134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5.9.1 descumprir as condições da ata de registro de preços;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1134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5.9.2 não retirar a nota de empenho ou instrumento equivalente no prazo estabelecido pela Administração, sem justificativa aceitável;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1134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5.9.3 não aceitar reduzir o seu preço registrado, na hipótese deste se tornar superior àqueles praticados no mercado; ou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1134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5.9.4 sofrer sanção administrativa cujo efeito torne-o proibido de celebrar contrato administrativo, alcançando o órgão gerenciador e órgão(s) participante(s).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425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5.10 O cancelamento de registros nas hipóteses previstas nos itens 5.6.1, 5.6.2 e 5.6.4 será formalizado por despacho do órgão gerenciador, assegurado o contraditório e a ampla defesa.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425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5.11 O cancelamento do registro de preços poderá ocorrer por fato superveniente, decorrente de caso fortuito ou força maior, que prejudique o cumprimento da ata, devidamente comprovados e justificados: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1134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5.11.1 por razão de interesse público; ou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1134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5.11.2 a pedido do fornecedor. </w:t>
      </w:r>
    </w:p>
    <w:p>
      <w:pPr>
        <w:pStyle w:val="Nivel1"/>
        <w:numPr>
          <w:ilvl w:val="0"/>
          <w:numId w:val="0"/>
        </w:numPr>
        <w:ind w:left="357" w:right="0" w:hanging="357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6. CONDIÇÕES GERAIS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425" w:right="0" w:hanging="0"/>
        <w:jc w:val="both"/>
        <w:rPr>
          <w:rFonts w:ascii="Arial" w:hAnsi="Arial" w:cs="Arial"/>
          <w:iCs/>
          <w:sz w:val="20"/>
          <w:szCs w:val="20"/>
        </w:rPr>
      </w:pPr>
      <w:r>
        <w:rPr>
          <w:rFonts w:cs="Arial" w:ascii="Arial" w:hAnsi="Arial"/>
          <w:iCs/>
          <w:sz w:val="20"/>
          <w:szCs w:val="20"/>
        </w:rPr>
        <w:t>6.1 As condições gerais do fornecimento, tais como os prazos para entrega e recebimento do objeto, as obrigações da Administração e do fornecedor registrado, penalidades e demais condições do ajuste, encontram-se definidos no Termo de Referência, ANEXO AO EDITAL.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425" w:right="0" w:hanging="0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iCs/>
          <w:sz w:val="20"/>
          <w:szCs w:val="20"/>
        </w:rPr>
        <w:t xml:space="preserve">6.2 É vedado efetuar acréscimos nos quantitativos fixados nesta ata de registro de preços, inclusive o acréscimo de que trata o § 1º do art. 65 da Lei </w:t>
      </w:r>
      <w:r>
        <w:rPr>
          <w:rFonts w:cs="Arial" w:ascii="Arial" w:hAnsi="Arial"/>
          <w:sz w:val="20"/>
          <w:szCs w:val="20"/>
        </w:rPr>
        <w:t>nº 8.666/93.</w:t>
      </w:r>
    </w:p>
    <w:p>
      <w:pPr>
        <w:pStyle w:val="Normal"/>
        <w:numPr>
          <w:ilvl w:val="0"/>
          <w:numId w:val="0"/>
        </w:numPr>
        <w:spacing w:lineRule="auto" w:line="276" w:before="120" w:after="120"/>
        <w:ind w:left="425" w:right="0" w:hanging="0"/>
        <w:jc w:val="both"/>
        <w:rPr>
          <w:rFonts w:ascii="Arial" w:hAnsi="Arial" w:cs="Arial"/>
          <w:i/>
          <w:i/>
          <w:iCs/>
          <w:color w:val="FF0000"/>
          <w:sz w:val="20"/>
          <w:szCs w:val="20"/>
        </w:rPr>
      </w:pPr>
      <w:r>
        <w:rPr>
          <w:rFonts w:cs="Arial" w:ascii="Arial" w:hAnsi="Arial"/>
          <w:i/>
          <w:iCs/>
          <w:color w:val="000000"/>
          <w:sz w:val="20"/>
          <w:szCs w:val="20"/>
        </w:rPr>
        <w:t>6.3 A ata de realização da sessão pública do pregão, contendo a relação dos licitantes que aceitarem cotar os bens ou serviços com preços iguais ao do licitante vencedor do certame, será anexada a esta Ata de Registro de Preços, nos termos do art. 11, §4º do Decreto n. 7.892, de 2014.</w:t>
      </w:r>
    </w:p>
    <w:p>
      <w:pPr>
        <w:pStyle w:val="Normal"/>
        <w:widowControl w:val="false"/>
        <w:bidi w:val="0"/>
        <w:ind w:left="0" w:right="0" w:firstLine="454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 xml:space="preserve">Para firmeza e validade do pactuado, a presente Ata foi lavrada em .... (....) vias de igual teor, que, depois de lida e achada em ordem, vai assinada pelas partes </w:t>
      </w:r>
      <w:r>
        <w:rPr>
          <w:rFonts w:cs="Arial" w:ascii="Arial" w:hAnsi="Arial"/>
          <w:i/>
          <w:iCs/>
          <w:color w:val="000000"/>
          <w:sz w:val="20"/>
          <w:szCs w:val="20"/>
        </w:rPr>
        <w:t xml:space="preserve">e encaminhada cópia aos demais órgãos participantes (se houver). </w:t>
      </w:r>
    </w:p>
    <w:p>
      <w:pPr>
        <w:pStyle w:val="Normal"/>
        <w:widowControl w:val="false"/>
        <w:ind w:left="0" w:right="0" w:hanging="0"/>
        <w:jc w:val="both"/>
        <w:rPr>
          <w:rFonts w:ascii="Arial" w:hAnsi="Arial" w:cs="Arial"/>
          <w:i/>
          <w:i/>
          <w:iCs/>
          <w:color w:val="000000"/>
          <w:sz w:val="20"/>
          <w:szCs w:val="20"/>
        </w:rPr>
      </w:pPr>
      <w:r>
        <w:rPr>
          <w:rFonts w:cs="Arial" w:ascii="Arial" w:hAnsi="Arial"/>
          <w:i/>
          <w:iCs/>
          <w:color w:val="000000"/>
          <w:sz w:val="20"/>
          <w:szCs w:val="20"/>
        </w:rPr>
      </w:r>
    </w:p>
    <w:p>
      <w:pPr>
        <w:pStyle w:val="Normal"/>
        <w:widowControl w:val="false"/>
        <w:ind w:left="0" w:right="0" w:hanging="0"/>
        <w:jc w:val="both"/>
        <w:rPr>
          <w:rFonts w:ascii="Arial" w:hAnsi="Arial" w:cs="Arial"/>
          <w:i/>
          <w:i/>
          <w:iCs/>
          <w:color w:val="FF0000"/>
          <w:sz w:val="20"/>
          <w:szCs w:val="20"/>
        </w:rPr>
      </w:pPr>
      <w:r>
        <w:rPr>
          <w:rFonts w:cs="Arial" w:ascii="Arial" w:hAnsi="Arial"/>
          <w:i/>
          <w:iCs/>
          <w:color w:val="FF0000"/>
          <w:sz w:val="20"/>
          <w:szCs w:val="20"/>
        </w:rPr>
      </w:r>
    </w:p>
    <w:p>
      <w:pPr>
        <w:pStyle w:val="Normal"/>
        <w:widowControl w:val="false"/>
        <w:ind w:left="0" w:right="0" w:hanging="0"/>
        <w:jc w:val="both"/>
        <w:rPr>
          <w:rFonts w:ascii="Arial" w:hAnsi="Arial" w:cs="Arial"/>
          <w:i/>
          <w:i/>
          <w:iCs/>
          <w:sz w:val="20"/>
          <w:szCs w:val="20"/>
        </w:rPr>
      </w:pPr>
      <w:r>
        <w:rPr>
          <w:rFonts w:cs="Arial" w:ascii="Arial" w:hAnsi="Arial"/>
          <w:i/>
          <w:iCs/>
          <w:sz w:val="20"/>
          <w:szCs w:val="20"/>
        </w:rPr>
      </w:r>
    </w:p>
    <w:p>
      <w:pPr>
        <w:pStyle w:val="Normal"/>
        <w:widowControl w:val="false"/>
        <w:ind w:left="0" w:right="0" w:hanging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Local e data</w:t>
      </w:r>
    </w:p>
    <w:p>
      <w:pPr>
        <w:pStyle w:val="Normal"/>
        <w:widowControl w:val="false"/>
        <w:ind w:left="0" w:right="0" w:hanging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Assinaturas</w:t>
      </w:r>
    </w:p>
    <w:p>
      <w:pPr>
        <w:pStyle w:val="Normal"/>
        <w:widowControl w:val="false"/>
        <w:ind w:left="0" w:right="0" w:hanging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widowControl w:val="false"/>
        <w:ind w:left="0" w:right="0" w:hanging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widowControl w:val="false"/>
        <w:ind w:left="0" w:right="0" w:hanging="0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Representante legal do órgão gerenciador e representante(s) legal(is) do(s) </w:t>
      </w:r>
      <w:r>
        <w:rPr>
          <w:rFonts w:cs="Arial" w:ascii="Arial" w:hAnsi="Arial"/>
          <w:color w:val="000000"/>
          <w:sz w:val="20"/>
          <w:szCs w:val="20"/>
        </w:rPr>
        <w:t>fornecedor(es) registrado(s)</w:t>
      </w:r>
    </w:p>
    <w:p>
      <w:pPr>
        <w:pStyle w:val="Normal"/>
        <w:spacing w:lineRule="auto" w:line="360" w:before="0" w:after="0"/>
        <w:ind w:left="482" w:right="0" w:firstLine="31"/>
        <w:jc w:val="center"/>
        <w:rPr>
          <w:rFonts w:ascii="Arial" w:hAnsi="Arial" w:cs="Times New Roman"/>
          <w:b/>
          <w:b/>
          <w:sz w:val="20"/>
          <w:szCs w:val="20"/>
        </w:rPr>
      </w:pPr>
      <w:r>
        <w:rPr>
          <w:rFonts w:cs="Times New Roman" w:ascii="Arial" w:hAnsi="Arial"/>
          <w:b/>
          <w:sz w:val="20"/>
          <w:szCs w:val="20"/>
        </w:rPr>
      </w:r>
    </w:p>
    <w:p>
      <w:pPr>
        <w:pStyle w:val="Normal"/>
        <w:spacing w:lineRule="auto" w:line="360" w:before="0" w:after="0"/>
        <w:ind w:left="482" w:right="0" w:firstLine="31"/>
        <w:jc w:val="center"/>
        <w:rPr>
          <w:rFonts w:ascii="Arial" w:hAnsi="Arial" w:cs="Times New Roman"/>
          <w:b/>
          <w:b/>
          <w:sz w:val="20"/>
          <w:szCs w:val="20"/>
        </w:rPr>
      </w:pPr>
      <w:r>
        <w:rPr>
          <w:rFonts w:cs="Times New Roman" w:ascii="Arial" w:hAnsi="Arial"/>
          <w:b/>
          <w:sz w:val="20"/>
          <w:szCs w:val="20"/>
        </w:rPr>
      </w:r>
    </w:p>
    <w:p>
      <w:pPr>
        <w:pStyle w:val="Normal"/>
        <w:spacing w:lineRule="auto" w:line="360" w:before="0" w:after="0"/>
        <w:ind w:left="482" w:right="0" w:firstLine="31"/>
        <w:jc w:val="center"/>
        <w:rPr>
          <w:rFonts w:ascii="Arial" w:hAnsi="Arial" w:cs="Times New Roman"/>
          <w:b/>
          <w:b/>
          <w:sz w:val="20"/>
          <w:szCs w:val="20"/>
        </w:rPr>
      </w:pPr>
      <w:r>
        <w:rPr>
          <w:rFonts w:cs="Times New Roman" w:ascii="Arial" w:hAnsi="Arial"/>
          <w:b/>
          <w:sz w:val="20"/>
          <w:szCs w:val="20"/>
        </w:rPr>
      </w:r>
    </w:p>
    <w:p>
      <w:pPr>
        <w:pStyle w:val="Normal"/>
        <w:spacing w:lineRule="auto" w:line="360" w:before="0" w:after="0"/>
        <w:ind w:left="482" w:right="0" w:firstLine="31"/>
        <w:jc w:val="center"/>
        <w:rPr>
          <w:rFonts w:ascii="Arial" w:hAnsi="Arial" w:cs="Times New Roman"/>
          <w:b/>
          <w:b/>
          <w:sz w:val="20"/>
          <w:szCs w:val="20"/>
        </w:rPr>
      </w:pPr>
      <w:r>
        <w:rPr>
          <w:rFonts w:cs="Times New Roman" w:ascii="Arial" w:hAnsi="Arial"/>
          <w:b/>
          <w:sz w:val="20"/>
          <w:szCs w:val="20"/>
        </w:rPr>
      </w:r>
    </w:p>
    <w:p>
      <w:pPr>
        <w:pStyle w:val="Normal"/>
        <w:spacing w:lineRule="auto" w:line="360" w:before="0" w:after="0"/>
        <w:ind w:left="482" w:right="0" w:firstLine="31"/>
        <w:jc w:val="center"/>
        <w:rPr>
          <w:rFonts w:ascii="Arial" w:hAnsi="Arial" w:cs="Times New Roman"/>
          <w:b/>
          <w:b/>
          <w:sz w:val="20"/>
          <w:szCs w:val="20"/>
        </w:rPr>
      </w:pPr>
      <w:r>
        <w:rPr>
          <w:rFonts w:cs="Times New Roman" w:ascii="Arial" w:hAnsi="Arial"/>
          <w:b/>
          <w:sz w:val="20"/>
          <w:szCs w:val="20"/>
        </w:rPr>
      </w:r>
    </w:p>
    <w:p>
      <w:pPr>
        <w:pStyle w:val="Normal"/>
        <w:spacing w:lineRule="auto" w:line="360" w:before="0" w:after="0"/>
        <w:ind w:left="482" w:right="0" w:firstLine="31"/>
        <w:jc w:val="center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header="709" w:top="1418" w:footer="709" w:bottom="1418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Ecofont_Spranq_eco_Sans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rFonts w:ascii="Arial" w:hAnsi="Arial" w:cs="Arial"/>
        <w:sz w:val="14"/>
        <w:szCs w:val="14"/>
      </w:rPr>
    </w:pPr>
    <w:r>
      <w:rPr>
        <w:rFonts w:cs="Arial" w:ascii="Arial" w:hAnsi="Arial"/>
        <w:sz w:val="14"/>
        <w:szCs w:val="14"/>
      </w:rPr>
      <w:t>Rua Uruguai, 1675 – Bairro Central – CEP 98.900-000 – Santa Rosa/RS</w:t>
    </w:r>
  </w:p>
  <w:p>
    <w:pPr>
      <w:pStyle w:val="Normal"/>
      <w:jc w:val="center"/>
      <w:rPr/>
    </w:pPr>
    <w:r>
      <w:rPr>
        <w:rFonts w:cs="Arial" w:ascii="Arial" w:hAnsi="Arial"/>
        <w:sz w:val="14"/>
        <w:szCs w:val="14"/>
      </w:rPr>
      <w:t xml:space="preserve">Fone/Fax: (55) 3511-2575 / E-mail: </w:t>
    </w:r>
    <w:hyperlink r:id="rId1">
      <w:r>
        <w:rPr>
          <w:rStyle w:val="LinkdaInternet"/>
          <w:rFonts w:cs="Arial" w:ascii="Arial" w:hAnsi="Arial"/>
          <w:sz w:val="14"/>
          <w:szCs w:val="14"/>
        </w:rPr>
        <w:t>licitacao.sr@iffarroupilha.edu.br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/>
    </w:pPr>
    <w:r>
      <w:rPr/>
      <w:drawing>
        <wp:inline distT="0" distB="0" distL="0" distR="0">
          <wp:extent cx="718185" cy="720090"/>
          <wp:effectExtent l="0" t="0" r="0" b="0"/>
          <wp:docPr id="1" name="Imagem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8185" cy="720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jc w:val="center"/>
      <w:rPr>
        <w:rFonts w:ascii="Arial" w:hAnsi="Arial" w:cs="Arial"/>
        <w:b/>
        <w:b/>
      </w:rPr>
    </w:pPr>
    <w:r>
      <w:rPr>
        <w:rFonts w:cs="Arial" w:ascii="Arial" w:hAnsi="Arial"/>
        <w:b/>
      </w:rPr>
      <w:t>MINISTÉRIO DA EDUCAÇÃO</w:t>
    </w:r>
  </w:p>
  <w:p>
    <w:pPr>
      <w:pStyle w:val="Cabealho"/>
      <w:jc w:val="center"/>
      <w:rPr>
        <w:rFonts w:ascii="Arial" w:hAnsi="Arial" w:cs="Arial"/>
        <w:b/>
        <w:b/>
        <w:sz w:val="16"/>
        <w:szCs w:val="16"/>
      </w:rPr>
    </w:pPr>
    <w:r>
      <w:rPr>
        <w:rFonts w:cs="Arial" w:ascii="Arial" w:hAnsi="Arial"/>
        <w:b/>
        <w:sz w:val="16"/>
        <w:szCs w:val="16"/>
      </w:rPr>
      <w:t>INSTITUTO FEDERAL FARROUPILHA</w:t>
    </w:r>
  </w:p>
  <w:p>
    <w:pPr>
      <w:pStyle w:val="Cabealho"/>
      <w:jc w:val="center"/>
      <w:rPr>
        <w:rFonts w:ascii="Arial" w:hAnsi="Arial" w:cs="Arial"/>
        <w:b/>
        <w:b/>
        <w:sz w:val="16"/>
        <w:szCs w:val="16"/>
      </w:rPr>
    </w:pPr>
    <w:r>
      <w:rPr>
        <w:rFonts w:cs="Arial" w:ascii="Arial" w:hAnsi="Arial"/>
        <w:b/>
        <w:sz w:val="16"/>
        <w:szCs w:val="16"/>
      </w:rPr>
      <w:t>CAMPUS SANTA ROSA</w:t>
    </w:r>
  </w:p>
  <w:p>
    <w:pPr>
      <w:pStyle w:val="Cabealho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57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0"/>
        <w:lang w:val="pt-BR" w:eastAsia="pt-BR" w:bidi="ar-SA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Ecofont_Spranq_eco_Sans" w:hAnsi="Ecofont_Spranq_eco_Sans" w:eastAsia="Times New Roman" w:cs="Tahoma"/>
      <w:color w:val="00000A"/>
      <w:sz w:val="24"/>
      <w:szCs w:val="24"/>
      <w:lang w:val="pt-BR" w:eastAsia="pt-BR" w:bidi="ar-SA"/>
    </w:rPr>
  </w:style>
  <w:style w:type="paragraph" w:styleId="Ttulo1">
    <w:name w:val="Título 1"/>
    <w:basedOn w:val="Ttulo"/>
    <w:pPr/>
    <w:rPr/>
  </w:style>
  <w:style w:type="paragraph" w:styleId="Ttulo2">
    <w:name w:val="Título 2"/>
    <w:basedOn w:val="Normal"/>
    <w:next w:val="Normal"/>
    <w:pPr>
      <w:keepNext/>
      <w:tabs>
        <w:tab w:val="left" w:pos="1701" w:leader="none"/>
      </w:tabs>
      <w:ind w:left="0" w:right="0" w:hanging="0"/>
      <w:jc w:val="center"/>
      <w:outlineLvl w:val="1"/>
    </w:pPr>
    <w:rPr>
      <w:rFonts w:ascii="Times New Roman" w:hAnsi="Times New Roman" w:cs="Times New Roman"/>
      <w:b/>
      <w:color w:val="000000"/>
      <w:szCs w:val="20"/>
      <w:lang w:val="x-none" w:eastAsia="x-none"/>
    </w:rPr>
  </w:style>
  <w:style w:type="paragraph" w:styleId="Ttulo3">
    <w:name w:val="Título 3"/>
    <w:basedOn w:val="Ttulo"/>
    <w:pPr/>
    <w:rPr/>
  </w:style>
  <w:style w:type="character" w:styleId="DefaultParagraphFont">
    <w:name w:val="Default Paragraph Font"/>
    <w:qFormat/>
    <w:rPr/>
  </w:style>
  <w:style w:type="character" w:styleId="TextodebaloChar">
    <w:name w:val="Texto de balão Char"/>
    <w:qFormat/>
    <w:rPr>
      <w:rFonts w:ascii="Tahoma" w:hAnsi="Tahoma" w:cs="Tahoma"/>
      <w:sz w:val="16"/>
      <w:szCs w:val="16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Normalchar1">
    <w:name w:val="normal__char1"/>
    <w:qFormat/>
    <w:rPr>
      <w:rFonts w:ascii="Arial" w:hAnsi="Arial" w:cs="Arial"/>
      <w:strike w:val="false"/>
      <w:dstrike w:val="false"/>
      <w:sz w:val="24"/>
      <w:szCs w:val="24"/>
      <w:u w:val="none"/>
      <w:effect w:val="blinkBackground"/>
    </w:rPr>
  </w:style>
  <w:style w:type="character" w:styleId="Applestylespan">
    <w:name w:val="apple-style-span"/>
    <w:basedOn w:val="DefaultParagraph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CitaoChar">
    <w:name w:val="Citação Char"/>
    <w:qFormat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Citao2Char">
    <w:name w:val="citação 2 Char"/>
    <w:basedOn w:val="CitaoChar"/>
    <w:qFormat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GradeColoridanfase1Char">
    <w:name w:val="Grade Colorida - Ênfase 1 Char"/>
    <w:qFormat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CabealhoChar">
    <w:name w:val="Cabeçalho Char"/>
    <w:basedOn w:val="DefaultParagraphFont"/>
    <w:qFormat/>
    <w:rPr>
      <w:rFonts w:ascii="Ecofont_Spranq_eco_Sans" w:hAnsi="Ecofont_Spranq_eco_Sans" w:cs="Tahoma"/>
      <w:sz w:val="24"/>
      <w:szCs w:val="24"/>
    </w:rPr>
  </w:style>
  <w:style w:type="character" w:styleId="RodapChar">
    <w:name w:val="Rodapé Char"/>
    <w:basedOn w:val="DefaultParagraphFont"/>
    <w:qFormat/>
    <w:rPr>
      <w:rFonts w:ascii="Ecofont_Spranq_eco_Sans" w:hAnsi="Ecofont_Spranq_eco_Sans" w:cs="Tahoma"/>
      <w:sz w:val="24"/>
      <w:szCs w:val="24"/>
    </w:rPr>
  </w:style>
  <w:style w:type="character" w:styleId="ListLabel1">
    <w:name w:val="ListLabel 1"/>
    <w:qFormat/>
    <w:rPr>
      <w:b/>
      <w:sz w:val="20"/>
    </w:rPr>
  </w:style>
  <w:style w:type="character" w:styleId="ListLabel2">
    <w:name w:val="ListLabel 2"/>
    <w:qFormat/>
    <w:rPr>
      <w:b/>
      <w:i w:val="false"/>
      <w:sz w:val="20"/>
    </w:rPr>
  </w:style>
  <w:style w:type="character" w:styleId="ListLabel3">
    <w:name w:val="ListLabel 3"/>
    <w:qFormat/>
    <w:rPr>
      <w:rFonts w:eastAsia="Arial Unicode MS"/>
    </w:rPr>
  </w:style>
  <w:style w:type="character" w:styleId="ListLabel4">
    <w:name w:val="ListLabel 4"/>
    <w:qFormat/>
    <w:rPr>
      <w:rFonts w:cs="Arial"/>
      <w:i/>
      <w:color w:val="FF0000"/>
    </w:rPr>
  </w:style>
  <w:style w:type="character" w:styleId="ListLabel5">
    <w:name w:val="ListLabel 5"/>
    <w:qFormat/>
    <w:rPr>
      <w:color w:val="0000FF"/>
    </w:rPr>
  </w:style>
  <w:style w:type="character" w:styleId="ListLabel6">
    <w:name w:val="ListLabel 6"/>
    <w:qFormat/>
    <w:rPr>
      <w:b w:val="false"/>
    </w:rPr>
  </w:style>
  <w:style w:type="character" w:styleId="ListLabel7">
    <w:name w:val="ListLabel 7"/>
    <w:qFormat/>
    <w:rPr>
      <w:b/>
      <w:i w:val="false"/>
    </w:rPr>
  </w:style>
  <w:style w:type="character" w:styleId="ListLabel8">
    <w:name w:val="ListLabel 8"/>
    <w:qFormat/>
    <w:rPr>
      <w:rFonts w:ascii="Arial" w:hAnsi="Arial"/>
      <w:b/>
      <w:i w:val="false"/>
      <w:color w:val="00000A"/>
      <w:sz w:val="20"/>
      <w:szCs w:val="20"/>
    </w:rPr>
  </w:style>
  <w:style w:type="character" w:styleId="ListLabel9">
    <w:name w:val="ListLabel 9"/>
    <w:qFormat/>
    <w:rPr>
      <w:i w:val="false"/>
      <w:color w:val="00000A"/>
      <w:sz w:val="20"/>
    </w:rPr>
  </w:style>
  <w:style w:type="character" w:styleId="ListLabel10">
    <w:name w:val="ListLabel 10"/>
    <w:qFormat/>
    <w:rPr>
      <w:b w:val="false"/>
      <w:color w:val="00000A"/>
      <w:sz w:val="20"/>
      <w:szCs w:val="20"/>
    </w:rPr>
  </w:style>
  <w:style w:type="character" w:styleId="ListLabel11">
    <w:name w:val="ListLabel 11"/>
    <w:qFormat/>
    <w:rPr>
      <w:b w:val="false"/>
      <w:i w:val="false"/>
    </w:rPr>
  </w:style>
  <w:style w:type="character" w:styleId="ListLabel12">
    <w:name w:val="ListLabel 12"/>
    <w:qFormat/>
    <w:rPr>
      <w:b/>
      <w:sz w:val="20"/>
      <w:szCs w:val="20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b/>
      <w:sz w:val="20"/>
    </w:rPr>
  </w:style>
  <w:style w:type="character" w:styleId="ListLabel15">
    <w:name w:val="ListLabel 15"/>
    <w:qFormat/>
    <w:rPr>
      <w:b/>
      <w:i w:val="false"/>
      <w:sz w:val="20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rpodotexto">
    <w:name w:val="Corpo do texto"/>
    <w:basedOn w:val="Normal"/>
    <w:qFormat/>
    <w:pPr>
      <w:spacing w:lineRule="auto" w:line="288" w:before="0" w:after="140"/>
    </w:pPr>
    <w:rPr/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BalloonText">
    <w:name w:val="Balloon Text"/>
    <w:basedOn w:val="Normal"/>
    <w:qFormat/>
    <w:pPr/>
    <w:rPr>
      <w:rFonts w:ascii="Tahoma" w:hAnsi="Tahoma" w:cs="Times New Roman"/>
      <w:sz w:val="16"/>
      <w:szCs w:val="16"/>
      <w:lang w:val="x-none" w:eastAsia="x-none"/>
    </w:rPr>
  </w:style>
  <w:style w:type="paragraph" w:styleId="Nvel2">
    <w:name w:val="Nível 2"/>
    <w:basedOn w:val="Normal"/>
    <w:next w:val="Normal"/>
    <w:qFormat/>
    <w:pPr>
      <w:spacing w:before="0" w:after="120"/>
      <w:jc w:val="both"/>
    </w:pPr>
    <w:rPr>
      <w:rFonts w:ascii="Arial" w:hAnsi="Arial" w:cs="Times New Roman"/>
      <w:b/>
      <w:szCs w:val="20"/>
    </w:rPr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FFFFCC"/>
      <w:spacing w:before="120" w:after="0"/>
      <w:jc w:val="both"/>
    </w:pPr>
    <w:rPr>
      <w:rFonts w:eastAsia="Calibri" w:cs="Times New Roman"/>
      <w:i/>
      <w:iCs/>
      <w:color w:val="000000"/>
      <w:sz w:val="20"/>
      <w:lang w:val="x-none" w:eastAsia="en-US"/>
    </w:rPr>
  </w:style>
  <w:style w:type="paragraph" w:styleId="ListBullet5">
    <w:name w:val="List Bullet 5"/>
    <w:basedOn w:val="Normal"/>
    <w:qFormat/>
    <w:pPr>
      <w:spacing w:before="0" w:after="0"/>
      <w:contextualSpacing/>
    </w:pPr>
    <w:rPr/>
  </w:style>
  <w:style w:type="paragraph" w:styleId="Citao2">
    <w:name w:val="citação 2"/>
    <w:basedOn w:val="Quote"/>
    <w:qFormat/>
    <w:pPr>
      <w:shd w:val="clear" w:fill="FFFFCC"/>
    </w:pPr>
    <w:rPr>
      <w:szCs w:val="20"/>
    </w:rPr>
  </w:style>
  <w:style w:type="paragraph" w:styleId="GradeColoridanfase11">
    <w:name w:val="Grade Colorida - Ênfase 11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FFFFCC"/>
      <w:spacing w:before="120" w:after="0"/>
      <w:jc w:val="both"/>
    </w:pPr>
    <w:rPr>
      <w:rFonts w:eastAsia="Calibri"/>
      <w:i/>
      <w:iCs/>
      <w:color w:val="000000"/>
      <w:sz w:val="20"/>
      <w:lang w:eastAsia="en-US"/>
    </w:rPr>
  </w:style>
  <w:style w:type="paragraph" w:styleId="Cabealho">
    <w:name w:val="Cabeçalho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Rodap">
    <w:name w:val="Rodapé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Western">
    <w:name w:val="western"/>
    <w:basedOn w:val="Normal"/>
    <w:qFormat/>
    <w:pPr>
      <w:spacing w:before="227" w:after="170"/>
      <w:jc w:val="both"/>
    </w:pPr>
    <w:rPr>
      <w:rFonts w:ascii="Arial" w:hAnsi="Arial" w:cs="Arial"/>
      <w:color w:val="000000"/>
    </w:rPr>
  </w:style>
  <w:style w:type="paragraph" w:styleId="Contedodoquadro">
    <w:name w:val="Conteúdo do quadro"/>
    <w:basedOn w:val="Normal"/>
    <w:qFormat/>
    <w:pPr/>
    <w:rPr/>
  </w:style>
  <w:style w:type="paragraph" w:styleId="Contedodatabela">
    <w:name w:val="Conteúdo da tabela"/>
    <w:basedOn w:val="Normal"/>
    <w:qFormat/>
    <w:pPr/>
    <w:rPr/>
  </w:style>
  <w:style w:type="paragraph" w:styleId="Citaes">
    <w:name w:val="Citações"/>
    <w:basedOn w:val="Normal"/>
    <w:qFormat/>
    <w:pPr/>
    <w:rPr/>
  </w:style>
  <w:style w:type="paragraph" w:styleId="Ttulododocumento">
    <w:name w:val="Título do documento"/>
    <w:basedOn w:val="Ttulo"/>
    <w:pPr/>
    <w:rPr/>
  </w:style>
  <w:style w:type="paragraph" w:styleId="Subttulo">
    <w:name w:val="Subtítulo"/>
    <w:basedOn w:val="Ttulo"/>
    <w:pPr/>
    <w:rPr/>
  </w:style>
  <w:style w:type="paragraph" w:styleId="Ttulodetabela">
    <w:name w:val="Título de tabela"/>
    <w:basedOn w:val="Contedodatabela"/>
    <w:qFormat/>
    <w:pPr/>
    <w:rPr/>
  </w:style>
  <w:style w:type="paragraph" w:styleId="Nivel1">
    <w:name w:val="Nivel1"/>
    <w:basedOn w:val="Ttulo1"/>
    <w:next w:val="Normal"/>
    <w:qFormat/>
    <w:pPr>
      <w:spacing w:lineRule="auto" w:line="276" w:before="480" w:after="120"/>
      <w:ind w:left="357" w:right="0" w:hanging="357"/>
      <w:jc w:val="both"/>
    </w:pPr>
    <w:rPr>
      <w:rFonts w:ascii="Arial" w:hAnsi="Arial" w:cs="Arial"/>
      <w:b/>
      <w:color w:val="000000"/>
      <w:sz w:val="20"/>
      <w:szCs w:val="20"/>
    </w:rPr>
  </w:style>
  <w:style w:type="paragraph" w:styleId="Nivel01">
    <w:name w:val="Nivel 01"/>
    <w:basedOn w:val="Ttulo1"/>
    <w:next w:val="Normal"/>
    <w:qFormat/>
    <w:pPr>
      <w:spacing w:lineRule="auto" w:line="276" w:before="480" w:after="120"/>
      <w:ind w:left="360" w:right="0" w:hanging="360"/>
      <w:jc w:val="both"/>
    </w:pPr>
    <w:rPr>
      <w:rFonts w:ascii="Arial" w:hAnsi="Arial"/>
      <w:b/>
      <w:bCs/>
      <w:color w:val="000000"/>
    </w:rPr>
  </w:style>
  <w:style w:type="paragraph" w:styleId="TtulodaTabela">
    <w:name w:val="Título da Tabela"/>
    <w:basedOn w:val="Normal"/>
    <w:qFormat/>
    <w:pPr>
      <w:widowControl w:val="false"/>
      <w:suppressLineNumbers/>
      <w:suppressAutoHyphens w:val="true"/>
      <w:spacing w:before="0" w:after="120"/>
      <w:jc w:val="center"/>
    </w:pPr>
    <w:rPr>
      <w:rFonts w:ascii="Times New Roman" w:hAnsi="Times New Roman" w:eastAsia="Arial Unicode MS" w:cs="Times New Roman"/>
      <w:b/>
      <w:bCs/>
      <w:i/>
      <w:iCs/>
      <w:szCs w:val="20"/>
    </w:rPr>
  </w:style>
  <w:style w:type="numbering" w:styleId="NoList">
    <w:name w:val="No List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licitacao.sr@iffarroupilha.edu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modelo de modelo de minuta</Template>
  <TotalTime>258</TotalTime>
  <Application>LibreOffice/5.0.5.2$Windows_x86 LibreOffice_project/55b006a02d247b5f7215fc6ea0fde844b30035b3</Application>
  <Paragraphs>64</Paragraphs>
  <Company>EDUARDO DOTTI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2016-02-04T12:28:00Z</dcterms:created>
  <dc:creator>Adriano</dc:creator>
  <dc:language>pt-BR</dc:language>
  <cp:lastPrinted>2016-03-23T10:12:01Z</cp:lastPrinted>
  <dcterms:modified xsi:type="dcterms:W3CDTF">2016-09-01T08:43:07Z</dcterms:modified>
  <cp:revision>32</cp:revision>
  <dc:title>NOTAS EXPLICATIVAS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EDUARDO DOTTI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