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57ADB3" w14:textId="77777777" w:rsidR="00AD209D" w:rsidRDefault="00FE05A7">
      <w:pPr>
        <w:tabs>
          <w:tab w:val="left" w:pos="4401"/>
        </w:tabs>
        <w:ind w:left="50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62DC018C" wp14:editId="2D343F56">
            <wp:extent cx="1237487" cy="93916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7487" cy="93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rFonts w:ascii="Times New Roman"/>
          <w:noProof/>
          <w:position w:val="43"/>
          <w:sz w:val="20"/>
        </w:rPr>
        <w:drawing>
          <wp:inline distT="0" distB="0" distL="0" distR="0" wp14:anchorId="486E9A29" wp14:editId="561D0184">
            <wp:extent cx="3191661" cy="740664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1661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AF60B5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401DA777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4CAE6469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24C15638" w14:textId="77777777" w:rsidR="0007713D" w:rsidRDefault="00D81665" w:rsidP="00D81665">
      <w:pPr>
        <w:jc w:val="center"/>
        <w:rPr>
          <w:b/>
          <w:sz w:val="28"/>
          <w:szCs w:val="28"/>
        </w:rPr>
      </w:pPr>
      <w:r w:rsidRPr="00D81665">
        <w:rPr>
          <w:b/>
          <w:sz w:val="28"/>
          <w:szCs w:val="28"/>
        </w:rPr>
        <w:t xml:space="preserve">CARTA ABERTA DAS CAIS </w:t>
      </w:r>
      <w:r>
        <w:rPr>
          <w:b/>
          <w:sz w:val="28"/>
          <w:szCs w:val="28"/>
        </w:rPr>
        <w:t xml:space="preserve">E NAPNES </w:t>
      </w:r>
      <w:r w:rsidRPr="00D81665">
        <w:rPr>
          <w:b/>
          <w:sz w:val="28"/>
          <w:szCs w:val="28"/>
        </w:rPr>
        <w:t xml:space="preserve">DO IFFAR </w:t>
      </w:r>
    </w:p>
    <w:p w14:paraId="446C73CB" w14:textId="55AE1958" w:rsidR="00D81665" w:rsidRPr="00D81665" w:rsidRDefault="00D81665" w:rsidP="00D81665">
      <w:pPr>
        <w:jc w:val="center"/>
        <w:rPr>
          <w:b/>
          <w:sz w:val="28"/>
          <w:szCs w:val="28"/>
        </w:rPr>
      </w:pPr>
      <w:r w:rsidRPr="00D81665">
        <w:rPr>
          <w:b/>
          <w:sz w:val="28"/>
          <w:szCs w:val="28"/>
        </w:rPr>
        <w:t>SOBRE O DECRETO Nº 10.502/2020</w:t>
      </w:r>
    </w:p>
    <w:p w14:paraId="5D85846A" w14:textId="77777777" w:rsidR="00D81665" w:rsidRDefault="00D81665" w:rsidP="00D81665">
      <w:pPr>
        <w:jc w:val="center"/>
        <w:rPr>
          <w:b/>
        </w:rPr>
      </w:pPr>
    </w:p>
    <w:p w14:paraId="0FA2F8CF" w14:textId="77777777" w:rsidR="00D81665" w:rsidRDefault="00D81665" w:rsidP="00D81665"/>
    <w:p w14:paraId="7A2FCA4E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As Coordenações de Ações Inclusivas do IFFar, bem como os componentes dos Núcleos Inclusivos, em especial dos Núcleos de Atendimento às Pessoas com Necessidades Específicas (NAPNEs), manifestam profunda preocupação com a publicação do Decreto Nº 10.502/2020. Esse documento trata da </w:t>
      </w:r>
      <w:r w:rsidRPr="00D81665">
        <w:rPr>
          <w:i/>
          <w:sz w:val="24"/>
          <w:szCs w:val="24"/>
        </w:rPr>
        <w:t>Política Nacional de Educação Especial: Equitativa, Inclusiva e com Aprendizado ao Longo da Vida</w:t>
      </w:r>
      <w:r w:rsidRPr="00D81665">
        <w:rPr>
          <w:sz w:val="24"/>
          <w:szCs w:val="24"/>
        </w:rPr>
        <w:t xml:space="preserve">, que pretende atualizar a </w:t>
      </w:r>
      <w:r w:rsidRPr="00D81665">
        <w:rPr>
          <w:i/>
          <w:sz w:val="24"/>
          <w:szCs w:val="24"/>
        </w:rPr>
        <w:t xml:space="preserve">Política Nacional de Educação Especial na Perspectiva da Educação Inclusiva </w:t>
      </w:r>
      <w:r w:rsidRPr="00D81665">
        <w:rPr>
          <w:iCs/>
          <w:sz w:val="24"/>
          <w:szCs w:val="24"/>
        </w:rPr>
        <w:t>(2008).</w:t>
      </w:r>
      <w:r w:rsidRPr="00D81665">
        <w:rPr>
          <w:sz w:val="24"/>
          <w:szCs w:val="24"/>
        </w:rPr>
        <w:t xml:space="preserve"> O Decreto traz elementos que consideramos problemáticos e que demandam  aprofundamento e ampliação do debate. No momento, esse documento encontra-se suspenso, em análise pelo Supremo Tribunal Federal (STF) desde o dia 11 de dezembro de 2020. Mesmo assim, consideramos oportuno publicizarmos nossas preocupações institucionais, por meio desta Carta Aberta.</w:t>
      </w:r>
    </w:p>
    <w:p w14:paraId="1670F984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O primeiro aspecto trata do grande </w:t>
      </w:r>
      <w:r w:rsidRPr="00D81665">
        <w:rPr>
          <w:b/>
          <w:sz w:val="24"/>
          <w:szCs w:val="24"/>
        </w:rPr>
        <w:t>risco de retrocesso.</w:t>
      </w:r>
      <w:r w:rsidRPr="00D81665">
        <w:rPr>
          <w:sz w:val="24"/>
          <w:szCs w:val="24"/>
        </w:rPr>
        <w:t xml:space="preserve"> Como militantes da educação, não negamos a importância de avaliar e atualizar a Política em curso (Política Nacional de Educação Especial na perspectiva da Educação Inclusiva, de 2008). No entanto, o documento proposto parece retomar a perspectiva integrativa de educação (oriunda da Política de Educação Especial, de 1994), na qual cabe a cada sujeito adequar-se ao ambiente e não o contrário. Não considera os resultados positivos da inclusão e os negativos da integração, já reiterados em inúmeros estudos científicos. O Decreto em questão propõe uma noção de inclusão em nível social que não necessariamente é produto da inclusão escolar, sendo questionável inclusive em sua constitucionalidade. Ora, durante décadas vivemos num contexto no qual o Estado brasileiro não tomou para si a plena responsabilidade pela educação pública dos estudantes da Educação Especial. Contudo, as lutas, as reivindicações de coletivos de pessoas com deficiência, familiares e educadores gestaram uma perspectiva política na qual a inclusão passou a ser direito e dever de todas e todos. E as conquistas de toda uma geração estão em risco, em especial o direito à escola pública e a escolarização na classe comum. </w:t>
      </w:r>
    </w:p>
    <w:p w14:paraId="0720F514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  <w:highlight w:val="yellow"/>
        </w:rPr>
      </w:pPr>
      <w:r w:rsidRPr="00D81665">
        <w:rPr>
          <w:sz w:val="24"/>
          <w:szCs w:val="24"/>
        </w:rPr>
        <w:t xml:space="preserve">O segundo ponto diz respeito ao </w:t>
      </w:r>
      <w:r w:rsidRPr="00D81665">
        <w:rPr>
          <w:b/>
          <w:sz w:val="24"/>
          <w:szCs w:val="24"/>
        </w:rPr>
        <w:t>capacitismo</w:t>
      </w:r>
      <w:r w:rsidRPr="00D81665">
        <w:rPr>
          <w:sz w:val="24"/>
          <w:szCs w:val="24"/>
        </w:rPr>
        <w:t xml:space="preserve"> </w:t>
      </w:r>
      <w:r w:rsidRPr="00D81665">
        <w:rPr>
          <w:b/>
          <w:sz w:val="24"/>
          <w:szCs w:val="24"/>
        </w:rPr>
        <w:t xml:space="preserve">velado </w:t>
      </w:r>
      <w:r w:rsidRPr="00D81665">
        <w:rPr>
          <w:sz w:val="24"/>
          <w:szCs w:val="24"/>
        </w:rPr>
        <w:t xml:space="preserve">na ideia de que há ambientes </w:t>
      </w:r>
      <w:r w:rsidRPr="00D81665">
        <w:rPr>
          <w:sz w:val="24"/>
          <w:szCs w:val="24"/>
        </w:rPr>
        <w:lastRenderedPageBreak/>
        <w:t xml:space="preserve">escolares nos quais o sujeito não tem condições de conviver e aprender. Se considerarmos a dinamicidade dos processos de aprendizagem, cientificamente comprovados por vários estudos, seria no mínimo prepotência acreditar que é possível antever, antecipar, pré-julgar as condições dos/das estudantes com deficiência. Aliás, tal presunção de capacidade (nesse caso, de incapacidade), pode inclusive ser considerado crime de discriminação por motivo de deficiência, passível de punição </w:t>
      </w:r>
      <w:r w:rsidRPr="00D81665">
        <w:rPr>
          <w:sz w:val="24"/>
          <w:szCs w:val="24"/>
          <w:highlight w:val="white"/>
        </w:rPr>
        <w:t>com reclusão de 2 (dois) a 5 (cinco) anos e multa</w:t>
      </w:r>
      <w:r w:rsidRPr="00D81665">
        <w:rPr>
          <w:sz w:val="24"/>
          <w:szCs w:val="24"/>
        </w:rPr>
        <w:t xml:space="preserve"> </w:t>
      </w:r>
      <w:r w:rsidRPr="00D81665">
        <w:rPr>
          <w:sz w:val="24"/>
          <w:szCs w:val="24"/>
          <w:highlight w:val="white"/>
        </w:rPr>
        <w:t xml:space="preserve">art. 2º da CDPD e art. 4º, §1º da Lei Brasileira de Inclusão (LBI - Lei Nº13.146/2015), e nos termos da Lei Nº 7.853/1989. Além desses instrumentos, uma série de outros documentos internacionais os quais o Brasil é signatário são desconsiderados pelo Decreto Nº 10.502/2020, o que coloca em dúvida, inclusive, sua constitucionalidade. </w:t>
      </w:r>
    </w:p>
    <w:p w14:paraId="1666B59E" w14:textId="16FA1CEA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O terceiro aspecto que destacamos é a </w:t>
      </w:r>
      <w:r w:rsidRPr="00D81665">
        <w:rPr>
          <w:b/>
          <w:sz w:val="24"/>
          <w:szCs w:val="24"/>
        </w:rPr>
        <w:t>confusão quanto ao conceito, público-alvo e profissionais que podem realizar do Atendimento Educacional Especializado (AEE)</w:t>
      </w:r>
      <w:r w:rsidRPr="00D81665">
        <w:rPr>
          <w:sz w:val="24"/>
          <w:szCs w:val="24"/>
        </w:rPr>
        <w:t>. O AEE, na perspectiva inclusiva, só faz sentido em seu caráter suplementar ou complementar ao trabalho realizado na sala de aula comum. Na forma como é descrito pelo Decreto, o que se depreende é a invenção de uma miscelânea de recursos e serviços, mascarados como AEE, que demonstram a volta da Educação Especial como substitutiva à educação comum e não como transversal aos demais níveis e modalidades. Além disso, é preocupante o desconhecimento em relação à população que se beneficia da natureza desse atendimento e aos papéis de cada profissional no apoio ao estudante, o que gera precarização tanto da qualidade do atendimento quanto das carreiras, assim como a própria formação de recursos humanos na área.</w:t>
      </w:r>
    </w:p>
    <w:p w14:paraId="7D522E75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O quarto refere-se aos </w:t>
      </w:r>
      <w:r w:rsidRPr="00D81665">
        <w:rPr>
          <w:b/>
          <w:sz w:val="24"/>
          <w:szCs w:val="24"/>
        </w:rPr>
        <w:t>efeitos perversos da noção de aprendizagem ao longo da vida</w:t>
      </w:r>
      <w:r w:rsidRPr="00D81665">
        <w:rPr>
          <w:sz w:val="24"/>
          <w:szCs w:val="24"/>
        </w:rPr>
        <w:t>, conceito muito debatido no âmbito acadêmico, pois aborda uma visão de desconstrução das funções de Educação em sua identidade de Estado. Como efeito, há o risco de desmantelamento do papel do Estado como regulador de garantias fundamentais à toda população, pois foca a Educação das Pessoas com Deficiências em caráter adaptativo e utilitarista às relações sociais. Vemos aí um viés individualista, que não oportuniza relevantes elementos integradores, declinando de valores mais humanistas e solidários, nas relações de ensino-aprendizagem.</w:t>
      </w:r>
    </w:p>
    <w:p w14:paraId="54CD4A52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O quinto denota à </w:t>
      </w:r>
      <w:r w:rsidRPr="00D81665">
        <w:rPr>
          <w:b/>
          <w:sz w:val="24"/>
          <w:szCs w:val="24"/>
        </w:rPr>
        <w:t>responsabilização das famílias</w:t>
      </w:r>
      <w:r w:rsidRPr="00D81665">
        <w:rPr>
          <w:sz w:val="24"/>
          <w:szCs w:val="24"/>
        </w:rPr>
        <w:t xml:space="preserve"> pela escolha do espaço escolar. Nesta estratégia, encontra-se implicada uma decisão que poderá repercutir nas possibilidades do que seu/sua filho/a poderá ser ou fazer, na medida em as escolhas poderão limitar o acesso a uma educação que potencializará o desenvolvimento do/da filho/a. As famílias devem sim, ter vez e voz, mas uma decisão que envolve a tipologia de escola, neste </w:t>
      </w:r>
      <w:r w:rsidRPr="00D81665">
        <w:rPr>
          <w:sz w:val="24"/>
          <w:szCs w:val="24"/>
        </w:rPr>
        <w:lastRenderedPageBreak/>
        <w:t>caso, requer o diálogo e busca por orientações com profissionais para que as escolhas e suas respectivas consequências não caiam somente sobre seus “ombros”.</w:t>
      </w:r>
    </w:p>
    <w:p w14:paraId="62A90387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O sexto ponto indica a preocupação com a </w:t>
      </w:r>
      <w:r w:rsidRPr="00D81665">
        <w:rPr>
          <w:b/>
          <w:sz w:val="24"/>
          <w:szCs w:val="24"/>
        </w:rPr>
        <w:t xml:space="preserve">ausência de consulta prévia à minuta. </w:t>
      </w:r>
      <w:r w:rsidRPr="00D81665">
        <w:rPr>
          <w:sz w:val="24"/>
          <w:szCs w:val="24"/>
        </w:rPr>
        <w:t>A máxima “nada de nós sem nós”, que preconiza o desenvolvimento de marcos legais a partir de contribuições coletivas, ouvindo e garantindo espaço de diálogo às partes envolvidas conforme estabelecido em convenção da Organização das Nações Unidas sobre os direitos das Pessoas Com Deficiências - PCDs, não foi observada na construção do Decreto, ferindo e se sobrepondo às atribuições de instituições importantes como o Conselho Nacional dos Direitos das Pessoas com Deficiência - CONADE, órgão oficial superior de deliberação colegiada, que nem foi consultado para a elaboração do documento, e sequer avaliou o teor do referido Decreto. Logo, não observamos o aspecto de legitimação do Decreto, salientando o reconhecimento de arbitrariedade inerente nas intencionalidades do dispositivo.</w:t>
      </w:r>
    </w:p>
    <w:p w14:paraId="08F946C9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  <w:r w:rsidRPr="00D81665">
        <w:rPr>
          <w:sz w:val="24"/>
          <w:szCs w:val="24"/>
        </w:rPr>
        <w:t xml:space="preserve">Diante da manifestação pública desta preocupação, esperamos a retirada deste Decreto e uma revisão da Política de Educação Especial vigente (BRASIL, 2008). Precisamos do fortalecimento da escola pública com a garantia dos serviços da Educação Especial dentro desse espaço junto com os/as estudantes com deficiência. O que está em jogo não é só o direito à educação do público-alvo da Educação Especial, mas sim as possibilidades conquistadas até o momento com um grande contingente de pessoas com deficiência chegando ao ensino superior e ocupando espaços profissionais. Que neste caminho não se adicione mais um obstáculo, a exemplo do que poderá acontecer caso haja a aprovação deste Decreto. </w:t>
      </w:r>
    </w:p>
    <w:p w14:paraId="5E1D4058" w14:textId="77777777" w:rsidR="00D81665" w:rsidRPr="00D81665" w:rsidRDefault="00D81665" w:rsidP="00D81665">
      <w:pPr>
        <w:spacing w:line="360" w:lineRule="auto"/>
        <w:ind w:firstLine="720"/>
        <w:jc w:val="both"/>
        <w:rPr>
          <w:sz w:val="24"/>
          <w:szCs w:val="24"/>
        </w:rPr>
      </w:pPr>
    </w:p>
    <w:p w14:paraId="233A5A12" w14:textId="77777777" w:rsidR="00D81665" w:rsidRDefault="00D81665" w:rsidP="00D81665">
      <w:pPr>
        <w:ind w:firstLine="720"/>
        <w:jc w:val="both"/>
      </w:pPr>
    </w:p>
    <w:p w14:paraId="109E1FD0" w14:textId="77777777" w:rsidR="00D81665" w:rsidRPr="0007713D" w:rsidRDefault="00D81665" w:rsidP="00D81665">
      <w:pPr>
        <w:ind w:firstLine="720"/>
        <w:jc w:val="right"/>
        <w:rPr>
          <w:sz w:val="24"/>
          <w:szCs w:val="24"/>
        </w:rPr>
      </w:pPr>
      <w:r w:rsidRPr="0007713D">
        <w:rPr>
          <w:sz w:val="24"/>
          <w:szCs w:val="24"/>
        </w:rPr>
        <w:t>Coordenadoras e Coordenadores de Ações Inclusivas e Componentes dos Núcleos de Apoio às Pessoas com Necessidades Educacionais Específicas (NAPNEs) do</w:t>
      </w:r>
    </w:p>
    <w:p w14:paraId="1D3715AD" w14:textId="77777777" w:rsidR="00D81665" w:rsidRPr="0007713D" w:rsidRDefault="00D81665" w:rsidP="00D81665">
      <w:pPr>
        <w:ind w:firstLine="720"/>
        <w:jc w:val="right"/>
        <w:rPr>
          <w:sz w:val="24"/>
          <w:szCs w:val="24"/>
        </w:rPr>
      </w:pPr>
      <w:r w:rsidRPr="0007713D">
        <w:rPr>
          <w:sz w:val="24"/>
          <w:szCs w:val="24"/>
        </w:rPr>
        <w:t xml:space="preserve"> Instituto Federal de Educação, Ciência e Tecnologia Farroupilha</w:t>
      </w:r>
    </w:p>
    <w:p w14:paraId="654760A4" w14:textId="77777777" w:rsidR="00D81665" w:rsidRPr="0007713D" w:rsidRDefault="00D81665" w:rsidP="00D81665">
      <w:pPr>
        <w:ind w:firstLine="720"/>
        <w:jc w:val="right"/>
        <w:rPr>
          <w:sz w:val="24"/>
          <w:szCs w:val="24"/>
        </w:rPr>
      </w:pPr>
    </w:p>
    <w:p w14:paraId="7E5368C3" w14:textId="77777777" w:rsidR="00D81665" w:rsidRPr="0007713D" w:rsidRDefault="00D81665" w:rsidP="00D81665">
      <w:pPr>
        <w:rPr>
          <w:sz w:val="24"/>
          <w:szCs w:val="24"/>
        </w:rPr>
      </w:pPr>
    </w:p>
    <w:p w14:paraId="60E70456" w14:textId="77777777" w:rsidR="00D81665" w:rsidRPr="0007713D" w:rsidRDefault="00D81665" w:rsidP="00D81665">
      <w:pPr>
        <w:jc w:val="right"/>
        <w:rPr>
          <w:sz w:val="24"/>
          <w:szCs w:val="24"/>
        </w:rPr>
      </w:pPr>
      <w:r w:rsidRPr="0007713D">
        <w:rPr>
          <w:sz w:val="24"/>
          <w:szCs w:val="24"/>
        </w:rPr>
        <w:t>23 de dezembro de 2020.</w:t>
      </w:r>
    </w:p>
    <w:p w14:paraId="199E4F0E" w14:textId="77777777" w:rsidR="00D81665" w:rsidRDefault="00D81665" w:rsidP="00D81665">
      <w:r>
        <w:t xml:space="preserve"> </w:t>
      </w:r>
    </w:p>
    <w:p w14:paraId="594EFB5E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460E1C37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265D465E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63615C90" w14:textId="77777777" w:rsidR="00AD209D" w:rsidRDefault="00AD209D">
      <w:pPr>
        <w:pStyle w:val="Corpodetexto"/>
        <w:rPr>
          <w:rFonts w:ascii="Times New Roman"/>
          <w:sz w:val="20"/>
        </w:rPr>
      </w:pPr>
    </w:p>
    <w:p w14:paraId="2928E70A" w14:textId="77777777" w:rsidR="00AD209D" w:rsidRDefault="00AD209D">
      <w:pPr>
        <w:pStyle w:val="Corpodetexto"/>
        <w:spacing w:before="8"/>
        <w:rPr>
          <w:rFonts w:ascii="Times New Roman"/>
          <w:sz w:val="17"/>
        </w:rPr>
      </w:pPr>
    </w:p>
    <w:p w14:paraId="44BB0558" w14:textId="37F1BB72" w:rsidR="00AD209D" w:rsidRDefault="00AD209D">
      <w:pPr>
        <w:pStyle w:val="Sumrio1"/>
        <w:tabs>
          <w:tab w:val="right" w:leader="dot" w:pos="9469"/>
        </w:tabs>
        <w:spacing w:before="430"/>
      </w:pPr>
    </w:p>
    <w:p w14:paraId="55C8E8F8" w14:textId="77777777" w:rsidR="00AD209D" w:rsidRDefault="00AD209D">
      <w:pPr>
        <w:sectPr w:rsidR="00AD209D">
          <w:headerReference w:type="default" r:id="rId9"/>
          <w:pgSz w:w="12240" w:h="15840"/>
          <w:pgMar w:top="1340" w:right="900" w:bottom="280" w:left="1320" w:header="8" w:footer="0" w:gutter="0"/>
          <w:pgNumType w:start="2"/>
          <w:cols w:space="720"/>
        </w:sectPr>
      </w:pPr>
    </w:p>
    <w:p w14:paraId="179E506E" w14:textId="77777777" w:rsidR="00AD209D" w:rsidRDefault="00FE05A7">
      <w:pPr>
        <w:pStyle w:val="Ttulo1"/>
      </w:pPr>
      <w:bookmarkStart w:id="0" w:name="_bookmark0"/>
      <w:bookmarkEnd w:id="0"/>
      <w:r>
        <w:lastRenderedPageBreak/>
        <w:t>Descrição de imagem das logomarcas</w:t>
      </w:r>
    </w:p>
    <w:p w14:paraId="2F8059BD" w14:textId="77777777" w:rsidR="00AD209D" w:rsidRDefault="00AD209D">
      <w:pPr>
        <w:pStyle w:val="Corpodetexto"/>
        <w:rPr>
          <w:b/>
          <w:sz w:val="20"/>
        </w:rPr>
      </w:pPr>
    </w:p>
    <w:p w14:paraId="69FF6FF7" w14:textId="77777777" w:rsidR="00AD209D" w:rsidRDefault="00AD209D">
      <w:pPr>
        <w:pStyle w:val="Corpodetexto"/>
        <w:rPr>
          <w:b/>
          <w:sz w:val="20"/>
        </w:rPr>
      </w:pPr>
    </w:p>
    <w:p w14:paraId="07773B70" w14:textId="77777777" w:rsidR="00AD209D" w:rsidRDefault="00AD209D">
      <w:pPr>
        <w:pStyle w:val="Corpodetexto"/>
        <w:rPr>
          <w:b/>
          <w:sz w:val="20"/>
        </w:rPr>
      </w:pPr>
    </w:p>
    <w:p w14:paraId="042FEFF6" w14:textId="77777777" w:rsidR="00AD209D" w:rsidRDefault="00AD209D">
      <w:pPr>
        <w:pStyle w:val="Corpodetexto"/>
        <w:rPr>
          <w:b/>
          <w:sz w:val="20"/>
        </w:rPr>
      </w:pPr>
    </w:p>
    <w:p w14:paraId="3E1573A7" w14:textId="77777777" w:rsidR="00AD209D" w:rsidRDefault="00AD209D">
      <w:pPr>
        <w:pStyle w:val="Corpodetexto"/>
        <w:rPr>
          <w:b/>
          <w:sz w:val="20"/>
        </w:rPr>
      </w:pPr>
    </w:p>
    <w:p w14:paraId="5802ABDA" w14:textId="77777777" w:rsidR="00AD209D" w:rsidRDefault="00FE05A7">
      <w:pPr>
        <w:pStyle w:val="Corpodetexto"/>
        <w:spacing w:before="6"/>
        <w:rPr>
          <w:b/>
          <w:sz w:val="15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31D01100" wp14:editId="162903FF">
            <wp:simplePos x="0" y="0"/>
            <wp:positionH relativeFrom="page">
              <wp:posOffset>2280672</wp:posOffset>
            </wp:positionH>
            <wp:positionV relativeFrom="paragraph">
              <wp:posOffset>138581</wp:posOffset>
            </wp:positionV>
            <wp:extent cx="3192690" cy="740664"/>
            <wp:effectExtent l="0" t="0" r="0" b="0"/>
            <wp:wrapTopAndBottom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2690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87B065" w14:textId="77777777" w:rsidR="00AD209D" w:rsidRDefault="00AD209D">
      <w:pPr>
        <w:pStyle w:val="Corpodetexto"/>
        <w:spacing w:before="9"/>
        <w:rPr>
          <w:b/>
          <w:sz w:val="37"/>
        </w:rPr>
      </w:pPr>
    </w:p>
    <w:p w14:paraId="6587099A" w14:textId="77777777" w:rsidR="00AD209D" w:rsidRDefault="00FE05A7">
      <w:pPr>
        <w:pStyle w:val="Corpodetexto"/>
        <w:spacing w:before="1" w:line="276" w:lineRule="auto"/>
        <w:ind w:left="120" w:right="539"/>
        <w:jc w:val="both"/>
      </w:pPr>
      <w:r>
        <w:t>Descrição de Imagem: logomarca do NAPNE. Ao lado esquerdo em letras pretas o logotipo (nome</w:t>
      </w:r>
      <w:r>
        <w:rPr>
          <w:spacing w:val="-16"/>
        </w:rPr>
        <w:t xml:space="preserve"> </w:t>
      </w:r>
      <w:r>
        <w:t>por</w:t>
      </w:r>
      <w:r>
        <w:rPr>
          <w:spacing w:val="-17"/>
        </w:rPr>
        <w:t xml:space="preserve"> </w:t>
      </w:r>
      <w:r>
        <w:t>escrito):</w:t>
      </w:r>
      <w:r>
        <w:rPr>
          <w:spacing w:val="-17"/>
        </w:rPr>
        <w:t xml:space="preserve"> </w:t>
      </w:r>
      <w:r>
        <w:t>“Núcleo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Atendimento</w:t>
      </w:r>
      <w:r>
        <w:rPr>
          <w:spacing w:val="-15"/>
        </w:rPr>
        <w:t xml:space="preserve"> </w:t>
      </w:r>
      <w:r>
        <w:t>às</w:t>
      </w:r>
      <w:r>
        <w:rPr>
          <w:spacing w:val="-16"/>
        </w:rPr>
        <w:t xml:space="preserve"> </w:t>
      </w:r>
      <w:r>
        <w:t>Pessoas</w:t>
      </w:r>
      <w:r>
        <w:rPr>
          <w:spacing w:val="-16"/>
        </w:rPr>
        <w:t xml:space="preserve"> </w:t>
      </w:r>
      <w:r>
        <w:t>com</w:t>
      </w:r>
      <w:r>
        <w:rPr>
          <w:spacing w:val="-18"/>
        </w:rPr>
        <w:t xml:space="preserve"> </w:t>
      </w:r>
      <w:r>
        <w:t>Necessidades</w:t>
      </w:r>
      <w:r>
        <w:rPr>
          <w:spacing w:val="-16"/>
        </w:rPr>
        <w:t xml:space="preserve"> </w:t>
      </w:r>
      <w:r>
        <w:t>Específicas”.</w:t>
      </w:r>
      <w:r>
        <w:rPr>
          <w:spacing w:val="-15"/>
        </w:rPr>
        <w:t xml:space="preserve"> </w:t>
      </w:r>
      <w:r>
        <w:t>Do</w:t>
      </w:r>
      <w:r>
        <w:rPr>
          <w:spacing w:val="-16"/>
        </w:rPr>
        <w:t xml:space="preserve"> </w:t>
      </w:r>
      <w:r>
        <w:t>lado direito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marca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IF: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letra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é</w:t>
      </w:r>
      <w:r>
        <w:rPr>
          <w:spacing w:val="-4"/>
        </w:rPr>
        <w:t xml:space="preserve"> </w:t>
      </w:r>
      <w:r>
        <w:t>composta</w:t>
      </w:r>
      <w:r>
        <w:rPr>
          <w:spacing w:val="-2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um</w:t>
      </w:r>
      <w:r>
        <w:rPr>
          <w:spacing w:val="-3"/>
        </w:rPr>
        <w:t xml:space="preserve"> </w:t>
      </w:r>
      <w:r>
        <w:t>círculo</w:t>
      </w:r>
      <w:r>
        <w:rPr>
          <w:spacing w:val="-4"/>
        </w:rPr>
        <w:t xml:space="preserve"> </w:t>
      </w:r>
      <w:r>
        <w:t>vermelho</w:t>
      </w:r>
      <w:r>
        <w:rPr>
          <w:spacing w:val="-3"/>
        </w:rPr>
        <w:t xml:space="preserve"> </w:t>
      </w:r>
      <w:r>
        <w:t>(representando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“pingo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i” e três quadrados verdes que formam a letra I. A letra F é composta por seis quadrados</w:t>
      </w:r>
      <w:r>
        <w:rPr>
          <w:spacing w:val="-22"/>
        </w:rPr>
        <w:t xml:space="preserve"> </w:t>
      </w:r>
      <w:r>
        <w:t>verdes.</w:t>
      </w:r>
    </w:p>
    <w:p w14:paraId="08883CFA" w14:textId="2A980E50" w:rsidR="00AD209D" w:rsidRDefault="00AD209D">
      <w:pPr>
        <w:pStyle w:val="Corpodetexto"/>
        <w:rPr>
          <w:sz w:val="20"/>
        </w:rPr>
      </w:pPr>
    </w:p>
    <w:p w14:paraId="2669C9D6" w14:textId="77777777" w:rsidR="00D81665" w:rsidRDefault="00D81665">
      <w:pPr>
        <w:pStyle w:val="Corpodetexto"/>
        <w:rPr>
          <w:sz w:val="20"/>
        </w:rPr>
      </w:pPr>
    </w:p>
    <w:p w14:paraId="6D98091A" w14:textId="77777777" w:rsidR="00AD209D" w:rsidRDefault="00AD209D">
      <w:pPr>
        <w:pStyle w:val="Corpodetexto"/>
        <w:rPr>
          <w:sz w:val="20"/>
        </w:rPr>
      </w:pPr>
    </w:p>
    <w:p w14:paraId="7CA212D1" w14:textId="77777777" w:rsidR="00AD209D" w:rsidRDefault="00AD209D">
      <w:pPr>
        <w:pStyle w:val="Corpodetexto"/>
        <w:rPr>
          <w:sz w:val="20"/>
        </w:rPr>
      </w:pPr>
    </w:p>
    <w:p w14:paraId="70B8DD2D" w14:textId="77777777" w:rsidR="00AD209D" w:rsidRDefault="00AD209D">
      <w:pPr>
        <w:pStyle w:val="Corpodetexto"/>
        <w:rPr>
          <w:sz w:val="20"/>
        </w:rPr>
      </w:pPr>
    </w:p>
    <w:p w14:paraId="7F09EDEC" w14:textId="77777777" w:rsidR="00AD209D" w:rsidRDefault="00FE05A7">
      <w:pPr>
        <w:pStyle w:val="Corpodetexto"/>
        <w:spacing w:before="7"/>
        <w:rPr>
          <w:sz w:val="19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3E8AFCB1" wp14:editId="750CEED6">
            <wp:simplePos x="0" y="0"/>
            <wp:positionH relativeFrom="page">
              <wp:posOffset>3201050</wp:posOffset>
            </wp:positionH>
            <wp:positionV relativeFrom="paragraph">
              <wp:posOffset>168140</wp:posOffset>
            </wp:positionV>
            <wp:extent cx="1323576" cy="1003935"/>
            <wp:effectExtent l="0" t="0" r="0" b="0"/>
            <wp:wrapTopAndBottom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576" cy="10039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F96A33" w14:textId="77777777" w:rsidR="00AD209D" w:rsidRDefault="00AD209D">
      <w:pPr>
        <w:pStyle w:val="Corpodetexto"/>
        <w:spacing w:before="9"/>
        <w:rPr>
          <w:sz w:val="26"/>
        </w:rPr>
      </w:pPr>
    </w:p>
    <w:p w14:paraId="79202FF0" w14:textId="160DCDAC" w:rsidR="00AD209D" w:rsidRDefault="00FE05A7" w:rsidP="00D81665">
      <w:pPr>
        <w:pStyle w:val="Corpodetexto"/>
        <w:spacing w:line="276" w:lineRule="auto"/>
        <w:ind w:left="119" w:right="540"/>
        <w:jc w:val="both"/>
      </w:pPr>
      <w:r>
        <w:t>Descrição de Imagem: Logomarca da Coordenação de Ações Inclusivas (CAI) é composta por três grandes letras com a sigla CAI: as letras C e A em vermelho e a I verde e vermelha com o mesmo estilo do I no logo do IF, com um círculo vermelho representando o “pingo do I” e três quadrados</w:t>
      </w:r>
      <w:r>
        <w:rPr>
          <w:spacing w:val="-4"/>
        </w:rPr>
        <w:t xml:space="preserve"> </w:t>
      </w:r>
      <w:r>
        <w:t>verdes.</w:t>
      </w:r>
      <w:r>
        <w:rPr>
          <w:spacing w:val="-4"/>
        </w:rPr>
        <w:t xml:space="preserve"> </w:t>
      </w:r>
      <w:r>
        <w:t>Logo</w:t>
      </w:r>
      <w:r>
        <w:rPr>
          <w:spacing w:val="-5"/>
        </w:rPr>
        <w:t xml:space="preserve"> </w:t>
      </w:r>
      <w:r>
        <w:t>abaixo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logotipo</w:t>
      </w:r>
      <w:r>
        <w:rPr>
          <w:spacing w:val="-5"/>
        </w:rPr>
        <w:t xml:space="preserve"> </w:t>
      </w:r>
      <w:r>
        <w:t>(nome</w:t>
      </w:r>
      <w:r>
        <w:rPr>
          <w:spacing w:val="-4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escrito)</w:t>
      </w:r>
      <w:r>
        <w:rPr>
          <w:spacing w:val="-5"/>
        </w:rPr>
        <w:t xml:space="preserve"> </w:t>
      </w:r>
      <w:r>
        <w:t>em</w:t>
      </w:r>
      <w:r>
        <w:rPr>
          <w:spacing w:val="-5"/>
        </w:rPr>
        <w:t xml:space="preserve"> </w:t>
      </w:r>
      <w:r>
        <w:t>letras</w:t>
      </w:r>
      <w:r>
        <w:rPr>
          <w:spacing w:val="-3"/>
        </w:rPr>
        <w:t xml:space="preserve"> </w:t>
      </w:r>
      <w:r>
        <w:t>verdes</w:t>
      </w:r>
      <w:r>
        <w:rPr>
          <w:spacing w:val="-4"/>
        </w:rPr>
        <w:t xml:space="preserve"> </w:t>
      </w:r>
      <w:r>
        <w:t>“Coordenação</w:t>
      </w:r>
      <w:r>
        <w:rPr>
          <w:spacing w:val="-4"/>
        </w:rPr>
        <w:t xml:space="preserve"> </w:t>
      </w:r>
      <w:r>
        <w:t>de Ações</w:t>
      </w:r>
      <w:r>
        <w:rPr>
          <w:spacing w:val="-1"/>
        </w:rPr>
        <w:t xml:space="preserve"> </w:t>
      </w:r>
      <w:r>
        <w:t>Inclusivas”.</w:t>
      </w:r>
      <w:bookmarkStart w:id="1" w:name="_bookmark1"/>
      <w:bookmarkEnd w:id="1"/>
    </w:p>
    <w:sectPr w:rsidR="00AD209D">
      <w:pgSz w:w="12240" w:h="15840"/>
      <w:pgMar w:top="1340" w:right="900" w:bottom="280" w:left="1320" w:header="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83CB54" w14:textId="77777777" w:rsidR="009A2B1F" w:rsidRDefault="009A2B1F">
      <w:r>
        <w:separator/>
      </w:r>
    </w:p>
  </w:endnote>
  <w:endnote w:type="continuationSeparator" w:id="0">
    <w:p w14:paraId="572EB243" w14:textId="77777777" w:rsidR="009A2B1F" w:rsidRDefault="009A2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370483" w14:textId="77777777" w:rsidR="009A2B1F" w:rsidRDefault="009A2B1F">
      <w:r>
        <w:separator/>
      </w:r>
    </w:p>
  </w:footnote>
  <w:footnote w:type="continuationSeparator" w:id="0">
    <w:p w14:paraId="2503D616" w14:textId="77777777" w:rsidR="009A2B1F" w:rsidRDefault="009A2B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F81F2B" w14:textId="77777777" w:rsidR="00AD209D" w:rsidRDefault="009A2B1F">
    <w:pPr>
      <w:pStyle w:val="Corpodetexto"/>
      <w:spacing w:line="14" w:lineRule="auto"/>
      <w:rPr>
        <w:sz w:val="20"/>
      </w:rPr>
    </w:pPr>
    <w:r>
      <w:pict w14:anchorId="06DF2BE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24.75pt;margin-top:-.6pt;width:18.25pt;height:14.3pt;z-index:-251658752;mso-position-horizontal-relative:page;mso-position-vertical-relative:page" filled="f" stroked="f">
          <v:textbox inset="0,0,0,0">
            <w:txbxContent>
              <w:p w14:paraId="3AA48A99" w14:textId="175FC7E6" w:rsidR="00AD209D" w:rsidRDefault="00AD209D">
                <w:pPr>
                  <w:pStyle w:val="Corpodetexto"/>
                  <w:spacing w:before="12"/>
                  <w:ind w:left="60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072C91"/>
    <w:multiLevelType w:val="hybridMultilevel"/>
    <w:tmpl w:val="F934D9B2"/>
    <w:lvl w:ilvl="0" w:tplc="28908614">
      <w:start w:val="1"/>
      <w:numFmt w:val="decimal"/>
      <w:lvlText w:val="%1."/>
      <w:lvlJc w:val="left"/>
      <w:pPr>
        <w:ind w:left="479" w:hanging="360"/>
        <w:jc w:val="left"/>
      </w:pPr>
      <w:rPr>
        <w:rFonts w:ascii="Arial" w:eastAsia="Arial" w:hAnsi="Arial" w:cs="Arial" w:hint="default"/>
        <w:w w:val="99"/>
        <w:sz w:val="22"/>
        <w:szCs w:val="22"/>
        <w:lang w:val="pt-BR" w:eastAsia="en-US" w:bidi="ar-SA"/>
      </w:rPr>
    </w:lvl>
    <w:lvl w:ilvl="1" w:tplc="1F3E1106">
      <w:numFmt w:val="bullet"/>
      <w:lvlText w:val="-"/>
      <w:lvlJc w:val="left"/>
      <w:pPr>
        <w:ind w:left="1559" w:hanging="360"/>
      </w:pPr>
      <w:rPr>
        <w:rFonts w:ascii="Arial" w:eastAsia="Arial" w:hAnsi="Arial" w:cs="Arial" w:hint="default"/>
        <w:w w:val="99"/>
        <w:sz w:val="22"/>
        <w:szCs w:val="22"/>
        <w:lang w:val="pt-BR" w:eastAsia="en-US" w:bidi="ar-SA"/>
      </w:rPr>
    </w:lvl>
    <w:lvl w:ilvl="2" w:tplc="5A0C1832">
      <w:numFmt w:val="bullet"/>
      <w:lvlText w:val="•"/>
      <w:lvlJc w:val="left"/>
      <w:pPr>
        <w:ind w:left="2500" w:hanging="360"/>
      </w:pPr>
      <w:rPr>
        <w:rFonts w:hint="default"/>
        <w:lang w:val="pt-BR" w:eastAsia="en-US" w:bidi="ar-SA"/>
      </w:rPr>
    </w:lvl>
    <w:lvl w:ilvl="3" w:tplc="9342C860">
      <w:numFmt w:val="bullet"/>
      <w:lvlText w:val="•"/>
      <w:lvlJc w:val="left"/>
      <w:pPr>
        <w:ind w:left="3440" w:hanging="360"/>
      </w:pPr>
      <w:rPr>
        <w:rFonts w:hint="default"/>
        <w:lang w:val="pt-BR" w:eastAsia="en-US" w:bidi="ar-SA"/>
      </w:rPr>
    </w:lvl>
    <w:lvl w:ilvl="4" w:tplc="AF8CF910">
      <w:numFmt w:val="bullet"/>
      <w:lvlText w:val="•"/>
      <w:lvlJc w:val="left"/>
      <w:pPr>
        <w:ind w:left="4380" w:hanging="360"/>
      </w:pPr>
      <w:rPr>
        <w:rFonts w:hint="default"/>
        <w:lang w:val="pt-BR" w:eastAsia="en-US" w:bidi="ar-SA"/>
      </w:rPr>
    </w:lvl>
    <w:lvl w:ilvl="5" w:tplc="600C2E9A">
      <w:numFmt w:val="bullet"/>
      <w:lvlText w:val="•"/>
      <w:lvlJc w:val="left"/>
      <w:pPr>
        <w:ind w:left="5320" w:hanging="360"/>
      </w:pPr>
      <w:rPr>
        <w:rFonts w:hint="default"/>
        <w:lang w:val="pt-BR" w:eastAsia="en-US" w:bidi="ar-SA"/>
      </w:rPr>
    </w:lvl>
    <w:lvl w:ilvl="6" w:tplc="335472FC">
      <w:numFmt w:val="bullet"/>
      <w:lvlText w:val="•"/>
      <w:lvlJc w:val="left"/>
      <w:pPr>
        <w:ind w:left="6260" w:hanging="360"/>
      </w:pPr>
      <w:rPr>
        <w:rFonts w:hint="default"/>
        <w:lang w:val="pt-BR" w:eastAsia="en-US" w:bidi="ar-SA"/>
      </w:rPr>
    </w:lvl>
    <w:lvl w:ilvl="7" w:tplc="9198F3D0">
      <w:numFmt w:val="bullet"/>
      <w:lvlText w:val="•"/>
      <w:lvlJc w:val="left"/>
      <w:pPr>
        <w:ind w:left="7200" w:hanging="360"/>
      </w:pPr>
      <w:rPr>
        <w:rFonts w:hint="default"/>
        <w:lang w:val="pt-BR" w:eastAsia="en-US" w:bidi="ar-SA"/>
      </w:rPr>
    </w:lvl>
    <w:lvl w:ilvl="8" w:tplc="0906AE8C">
      <w:numFmt w:val="bullet"/>
      <w:lvlText w:val="•"/>
      <w:lvlJc w:val="left"/>
      <w:pPr>
        <w:ind w:left="8140" w:hanging="360"/>
      </w:pPr>
      <w:rPr>
        <w:rFonts w:hint="default"/>
        <w:lang w:val="pt-BR" w:eastAsia="en-US" w:bidi="ar-SA"/>
      </w:rPr>
    </w:lvl>
  </w:abstractNum>
  <w:abstractNum w:abstractNumId="1" w15:restartNumberingAfterBreak="0">
    <w:nsid w:val="65ED73F2"/>
    <w:multiLevelType w:val="hybridMultilevel"/>
    <w:tmpl w:val="D938E574"/>
    <w:lvl w:ilvl="0" w:tplc="42B200F4">
      <w:start w:val="1"/>
      <w:numFmt w:val="decimal"/>
      <w:lvlText w:val="%1."/>
      <w:lvlJc w:val="left"/>
      <w:pPr>
        <w:ind w:left="545" w:hanging="427"/>
        <w:jc w:val="left"/>
      </w:pPr>
      <w:rPr>
        <w:rFonts w:ascii="Arial" w:eastAsia="Arial" w:hAnsi="Arial" w:cs="Arial" w:hint="default"/>
        <w:w w:val="99"/>
        <w:sz w:val="22"/>
        <w:szCs w:val="22"/>
        <w:lang w:val="pt-BR" w:eastAsia="en-US" w:bidi="ar-SA"/>
      </w:rPr>
    </w:lvl>
    <w:lvl w:ilvl="1" w:tplc="FE6C0F10">
      <w:numFmt w:val="bullet"/>
      <w:lvlText w:val="•"/>
      <w:lvlJc w:val="left"/>
      <w:pPr>
        <w:ind w:left="1488" w:hanging="427"/>
      </w:pPr>
      <w:rPr>
        <w:rFonts w:hint="default"/>
        <w:lang w:val="pt-BR" w:eastAsia="en-US" w:bidi="ar-SA"/>
      </w:rPr>
    </w:lvl>
    <w:lvl w:ilvl="2" w:tplc="3B163118">
      <w:numFmt w:val="bullet"/>
      <w:lvlText w:val="•"/>
      <w:lvlJc w:val="left"/>
      <w:pPr>
        <w:ind w:left="2436" w:hanging="427"/>
      </w:pPr>
      <w:rPr>
        <w:rFonts w:hint="default"/>
        <w:lang w:val="pt-BR" w:eastAsia="en-US" w:bidi="ar-SA"/>
      </w:rPr>
    </w:lvl>
    <w:lvl w:ilvl="3" w:tplc="F3B2A8E8">
      <w:numFmt w:val="bullet"/>
      <w:lvlText w:val="•"/>
      <w:lvlJc w:val="left"/>
      <w:pPr>
        <w:ind w:left="3384" w:hanging="427"/>
      </w:pPr>
      <w:rPr>
        <w:rFonts w:hint="default"/>
        <w:lang w:val="pt-BR" w:eastAsia="en-US" w:bidi="ar-SA"/>
      </w:rPr>
    </w:lvl>
    <w:lvl w:ilvl="4" w:tplc="62D865DC">
      <w:numFmt w:val="bullet"/>
      <w:lvlText w:val="•"/>
      <w:lvlJc w:val="left"/>
      <w:pPr>
        <w:ind w:left="4332" w:hanging="427"/>
      </w:pPr>
      <w:rPr>
        <w:rFonts w:hint="default"/>
        <w:lang w:val="pt-BR" w:eastAsia="en-US" w:bidi="ar-SA"/>
      </w:rPr>
    </w:lvl>
    <w:lvl w:ilvl="5" w:tplc="05C23FC0">
      <w:numFmt w:val="bullet"/>
      <w:lvlText w:val="•"/>
      <w:lvlJc w:val="left"/>
      <w:pPr>
        <w:ind w:left="5280" w:hanging="427"/>
      </w:pPr>
      <w:rPr>
        <w:rFonts w:hint="default"/>
        <w:lang w:val="pt-BR" w:eastAsia="en-US" w:bidi="ar-SA"/>
      </w:rPr>
    </w:lvl>
    <w:lvl w:ilvl="6" w:tplc="2D0CA960">
      <w:numFmt w:val="bullet"/>
      <w:lvlText w:val="•"/>
      <w:lvlJc w:val="left"/>
      <w:pPr>
        <w:ind w:left="6228" w:hanging="427"/>
      </w:pPr>
      <w:rPr>
        <w:rFonts w:hint="default"/>
        <w:lang w:val="pt-BR" w:eastAsia="en-US" w:bidi="ar-SA"/>
      </w:rPr>
    </w:lvl>
    <w:lvl w:ilvl="7" w:tplc="47D87A68">
      <w:numFmt w:val="bullet"/>
      <w:lvlText w:val="•"/>
      <w:lvlJc w:val="left"/>
      <w:pPr>
        <w:ind w:left="7176" w:hanging="427"/>
      </w:pPr>
      <w:rPr>
        <w:rFonts w:hint="default"/>
        <w:lang w:val="pt-BR" w:eastAsia="en-US" w:bidi="ar-SA"/>
      </w:rPr>
    </w:lvl>
    <w:lvl w:ilvl="8" w:tplc="72247260">
      <w:numFmt w:val="bullet"/>
      <w:lvlText w:val="•"/>
      <w:lvlJc w:val="left"/>
      <w:pPr>
        <w:ind w:left="8124" w:hanging="427"/>
      </w:pPr>
      <w:rPr>
        <w:rFonts w:hint="default"/>
        <w:lang w:val="pt-BR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209D"/>
    <w:rsid w:val="0006499E"/>
    <w:rsid w:val="0007713D"/>
    <w:rsid w:val="000F3136"/>
    <w:rsid w:val="0024178E"/>
    <w:rsid w:val="00455C97"/>
    <w:rsid w:val="009A2B1F"/>
    <w:rsid w:val="00AD209D"/>
    <w:rsid w:val="00D81665"/>
    <w:rsid w:val="00FE0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607918C"/>
  <w15:docId w15:val="{D0D4238E-5D73-4F56-8D3E-CB8451E3D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pt-BR"/>
    </w:rPr>
  </w:style>
  <w:style w:type="paragraph" w:styleId="Ttulo1">
    <w:name w:val="heading 1"/>
    <w:basedOn w:val="Normal"/>
    <w:uiPriority w:val="9"/>
    <w:qFormat/>
    <w:pPr>
      <w:spacing w:before="82"/>
      <w:ind w:left="552" w:right="546"/>
      <w:jc w:val="center"/>
      <w:outlineLvl w:val="0"/>
    </w:pPr>
    <w:rPr>
      <w:b/>
      <w:b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mrio1">
    <w:name w:val="toc 1"/>
    <w:basedOn w:val="Normal"/>
    <w:uiPriority w:val="1"/>
    <w:qFormat/>
    <w:pPr>
      <w:spacing w:before="428"/>
      <w:ind w:left="119"/>
    </w:pPr>
  </w:style>
  <w:style w:type="paragraph" w:styleId="Sumrio2">
    <w:name w:val="toc 2"/>
    <w:basedOn w:val="Normal"/>
    <w:uiPriority w:val="1"/>
    <w:qFormat/>
    <w:pPr>
      <w:spacing w:before="39"/>
      <w:ind w:left="148"/>
    </w:pPr>
  </w:style>
  <w:style w:type="paragraph" w:styleId="Corpodetexto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spacing w:before="64"/>
      <w:ind w:left="552" w:right="970"/>
      <w:jc w:val="center"/>
    </w:pPr>
    <w:rPr>
      <w:b/>
      <w:bCs/>
      <w:sz w:val="110"/>
      <w:szCs w:val="110"/>
    </w:rPr>
  </w:style>
  <w:style w:type="paragraph" w:styleId="PargrafodaLista">
    <w:name w:val="List Paragraph"/>
    <w:basedOn w:val="Normal"/>
    <w:uiPriority w:val="1"/>
    <w:qFormat/>
    <w:pPr>
      <w:ind w:left="479" w:right="538" w:hanging="360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before="100"/>
      <w:ind w:left="100"/>
    </w:pPr>
  </w:style>
  <w:style w:type="paragraph" w:styleId="Cabealho">
    <w:name w:val="header"/>
    <w:basedOn w:val="Normal"/>
    <w:link w:val="CabealhoChar"/>
    <w:uiPriority w:val="99"/>
    <w:unhideWhenUsed/>
    <w:rsid w:val="00D8166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1665"/>
    <w:rPr>
      <w:rFonts w:ascii="Arial" w:eastAsia="Arial" w:hAnsi="Arial" w:cs="Arial"/>
      <w:lang w:val="pt-BR"/>
    </w:rPr>
  </w:style>
  <w:style w:type="paragraph" w:styleId="Rodap">
    <w:name w:val="footer"/>
    <w:basedOn w:val="Normal"/>
    <w:link w:val="RodapChar"/>
    <w:uiPriority w:val="99"/>
    <w:unhideWhenUsed/>
    <w:rsid w:val="00D8166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1665"/>
    <w:rPr>
      <w:rFonts w:ascii="Arial" w:eastAsia="Arial" w:hAnsi="Arial" w:cs="Arial"/>
      <w:lang w:val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1226</Words>
  <Characters>6623</Characters>
  <Application>Microsoft Office Word</Application>
  <DocSecurity>0</DocSecurity>
  <Lines>55</Lines>
  <Paragraphs>15</Paragraphs>
  <ScaleCrop>false</ScaleCrop>
  <Company/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betania marques de moraes</dc:creator>
  <cp:lastModifiedBy>Fernanda</cp:lastModifiedBy>
  <cp:revision>3</cp:revision>
  <dcterms:created xsi:type="dcterms:W3CDTF">2020-12-23T17:19:00Z</dcterms:created>
  <dcterms:modified xsi:type="dcterms:W3CDTF">2020-12-23T17:20:00Z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2020-10-18T00:00:00Z</vt:filetime>
  </property>
  <property fmtid="{D5CDD505-2E9C-101B-9397-08002B2CF9AE}" pid="3" name="Creator">
    <vt:lpwstr>Acrobat PDFMaker 20 para Word</vt:lpwstr>
  </property>
  <property fmtid="{D5CDD505-2E9C-101B-9397-08002B2CF9AE}" pid="4" name="LastSaved">
    <vt:filetime>2020-10-19T00:00:00Z</vt:filetime>
  </property>
</Properties>
</file>